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>от 06.02.20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58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ind w:left="1134" w:right="1134" w:hanging="0"/>
        <w:jc w:val="center"/>
        <w:rPr/>
      </w:pPr>
      <w:r>
        <w:rPr>
          <w:b/>
          <w:bCs/>
          <w:sz w:val="28"/>
          <w:szCs w:val="28"/>
        </w:rPr>
        <w:t>Об организации и осуществлении регистрации (учета) избирателей, участников референдума на территории Шарангского муниципального района</w:t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val="clear" w:color="auto" w:fill="FFFFFF"/>
        <w:tabs>
          <w:tab w:val="clear" w:pos="709"/>
          <w:tab w:val="left" w:pos="1134" w:leader="none"/>
        </w:tabs>
        <w:suppressAutoHyphens w:val="tru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>Руководствуясь Федеральным законом от 12 июня 2002 года № 67-ФЗ «Об основных гарантиях избирательных прав и права на участие в референдуме граждан Российской Федерации»</w:t>
      </w:r>
      <w:r>
        <w:rPr>
          <w:b/>
          <w:bCs/>
          <w:color w:val="auto"/>
          <w:sz w:val="28"/>
          <w:szCs w:val="28"/>
        </w:rPr>
        <w:t>,</w:t>
      </w:r>
      <w:r>
        <w:rPr>
          <w:color w:val="auto"/>
          <w:sz w:val="28"/>
          <w:szCs w:val="28"/>
        </w:rPr>
        <w:t xml:space="preserve"> Положением о Государственной системе регистрации (учета) избирателей, участников референдума в Российской Федерации (далее - Положение), утвержденным постановлением Центральной избирательной комиссии Российской Федерации от 6 ноября 1997 года № 134/973-II</w:t>
      </w:r>
      <w:r>
        <w:rPr>
          <w:b/>
          <w:bCs/>
          <w:color w:val="auto"/>
          <w:sz w:val="28"/>
          <w:szCs w:val="28"/>
        </w:rPr>
        <w:t>,</w:t>
      </w:r>
      <w:r>
        <w:rPr>
          <w:color w:val="auto"/>
          <w:sz w:val="28"/>
          <w:szCs w:val="28"/>
        </w:rPr>
        <w:t xml:space="preserve"> распоряжением Губернатора Нижегородской области от 3 марта 2006 года №144-р «О мерах по реализации Положения о Государственной системе регистрации (учета) избирателей, участников референдума в Российской Федерации» </w:t>
      </w:r>
      <w:r>
        <w:rPr>
          <w:sz w:val="28"/>
          <w:szCs w:val="28"/>
        </w:rPr>
        <w:t xml:space="preserve">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tabs>
          <w:tab w:val="clear" w:pos="709"/>
          <w:tab w:val="left" w:pos="1021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 xml:space="preserve">1. Назначить ответственным </w:t>
      </w:r>
      <w:r>
        <w:rPr>
          <w:sz w:val="28"/>
          <w:szCs w:val="28"/>
        </w:rPr>
        <w:t>за осуществление регистрации (учета) избирателей, участников референдума</w:t>
      </w:r>
      <w:r>
        <w:rPr/>
        <w:t xml:space="preserve"> </w:t>
      </w:r>
      <w:r>
        <w:rPr>
          <w:color w:val="auto"/>
          <w:sz w:val="28"/>
          <w:szCs w:val="28"/>
        </w:rPr>
        <w:t>на территории Шарангского муниципального района Нижегородской области управляющую делами администрации Шарангского муниципального района Нижегородской области Софронову В.А.</w:t>
      </w:r>
    </w:p>
    <w:p>
      <w:pPr>
        <w:pStyle w:val="Normal"/>
        <w:tabs>
          <w:tab w:val="clear" w:pos="709"/>
          <w:tab w:val="left" w:pos="1021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>2. Рекомендовать:</w:t>
      </w:r>
    </w:p>
    <w:p>
      <w:pPr>
        <w:pStyle w:val="Normal"/>
        <w:tabs>
          <w:tab w:val="clear" w:pos="709"/>
          <w:tab w:val="left" w:pos="1043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 xml:space="preserve">2.1. </w:t>
      </w:r>
      <w:r>
        <w:rPr>
          <w:sz w:val="28"/>
          <w:szCs w:val="28"/>
        </w:rPr>
        <w:t>Миграционному пункту отделения полиции</w:t>
      </w:r>
      <w:r>
        <w:rPr>
          <w:color w:val="auto"/>
          <w:sz w:val="28"/>
          <w:szCs w:val="28"/>
        </w:rPr>
        <w:t xml:space="preserve"> (дислокация р.п. Шаранга) МО МВД России «Уренский», не реже чем один раз в месяц, 20 числа, а при проведении выборов, референдума – 1 раз в неделю (пятница) предоставлять</w:t>
      </w:r>
      <w:r>
        <w:rPr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главе администрации района по форме № 1.1риур (приложение № 1 к Положению),</w:t>
      </w:r>
      <w:r>
        <w:rPr>
          <w:sz w:val="28"/>
          <w:szCs w:val="28"/>
        </w:rPr>
        <w:t xml:space="preserve"> а </w:t>
      </w:r>
      <w:r>
        <w:rPr>
          <w:color w:val="auto"/>
          <w:sz w:val="28"/>
          <w:szCs w:val="28"/>
        </w:rPr>
        <w:t>также в виде электронного файла в формате (согласно приложению № 15 к Положению) следующие сведения:</w:t>
      </w:r>
    </w:p>
    <w:p>
      <w:pPr>
        <w:pStyle w:val="Normal"/>
        <w:numPr>
          <w:ilvl w:val="1"/>
          <w:numId w:val="3"/>
        </w:numPr>
        <w:tabs>
          <w:tab w:val="clear" w:pos="709"/>
          <w:tab w:val="left" w:pos="1141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>о фактах выдачи и замены паспорта;</w:t>
      </w:r>
    </w:p>
    <w:p>
      <w:pPr>
        <w:pStyle w:val="Normal"/>
        <w:numPr>
          <w:ilvl w:val="1"/>
          <w:numId w:val="3"/>
        </w:numPr>
        <w:tabs>
          <w:tab w:val="clear" w:pos="709"/>
          <w:tab w:val="left" w:pos="1134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>о фактах сдачи паспорта лицами, у которых прекратилось гражданство Российской Федерации;</w:t>
      </w:r>
    </w:p>
    <w:p>
      <w:pPr>
        <w:pStyle w:val="Normal"/>
        <w:numPr>
          <w:ilvl w:val="1"/>
          <w:numId w:val="3"/>
        </w:numPr>
        <w:tabs>
          <w:tab w:val="clear" w:pos="709"/>
          <w:tab w:val="left" w:pos="1134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>о фактах регистрации и снятии с регистрационного учета по месту жительства (в отношении вынужденных переселенцев - по месту пребывания) граждан;</w:t>
      </w:r>
    </w:p>
    <w:p>
      <w:pPr>
        <w:pStyle w:val="Normal"/>
        <w:numPr>
          <w:ilvl w:val="1"/>
          <w:numId w:val="3"/>
        </w:numPr>
        <w:tabs>
          <w:tab w:val="clear" w:pos="709"/>
          <w:tab w:val="left" w:pos="1134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>об установленных фактах выдачи паспорта гражданина Российской Федерации в нарушение установленного порядка лицу, не являющемуся гражданином Российской Федерации.</w:t>
      </w:r>
    </w:p>
    <w:p>
      <w:pPr>
        <w:pStyle w:val="Normal"/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>2.2. В</w:t>
      </w:r>
      <w:r>
        <w:rPr>
          <w:rFonts w:eastAsia="NSimSun"/>
          <w:color w:val="auto"/>
          <w:sz w:val="28"/>
          <w:szCs w:val="28"/>
        </w:rPr>
        <w:t xml:space="preserve">оенному комиссару военного комиссариата Тонкинского и Шарангского районов Нижегородской области предоставлять главе администрации района не реже чем один раз в три месяца (март, июнь, сентябрь, декабрь), в т.ч. по завершении призыва, 20-го числа, при проведении выборов, референдума - ежемесячно, 20-го числа, сведения о гражданах, призванных на военную службу, поступивших в военные учебные заведения по месту жительства гражданина </w:t>
      </w:r>
      <w:r>
        <w:rPr>
          <w:sz w:val="28"/>
          <w:szCs w:val="28"/>
        </w:rPr>
        <w:t xml:space="preserve">по </w:t>
      </w:r>
      <w:hyperlink w:anchor="Par406" w:tgtFrame="СВЕДЕНИЯ">
        <w:r>
          <w:rPr>
            <w:rStyle w:val="Style"/>
            <w:color w:val="000000" w:themeColor="text1"/>
            <w:sz w:val="28"/>
            <w:szCs w:val="28"/>
          </w:rPr>
          <w:t>форме N 1.3риур</w:t>
        </w:r>
      </w:hyperlink>
      <w:r>
        <w:rPr>
          <w:color w:val="000000" w:themeColor="text1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(приложение №3 к Положению).</w:t>
      </w:r>
    </w:p>
    <w:p>
      <w:pPr>
        <w:pStyle w:val="Normal"/>
        <w:suppressAutoHyphens w:val="tru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 xml:space="preserve">2.3. </w:t>
      </w:r>
      <w:r>
        <w:rPr>
          <w:sz w:val="28"/>
          <w:szCs w:val="28"/>
        </w:rPr>
        <w:t xml:space="preserve">Шарангскому районному суду Нижегородской области, приняв решение о признании гражданина недееспособным, а также решение о признании дееспособным гражданина, ранее признанного судом недееспособным, представлять сведения о принятом решении главе администрации района Нижегородской области по </w:t>
      </w:r>
      <w:hyperlink w:anchor="Par658" w:tgtFrame=" N 1.5риур">
        <w:r>
          <w:rPr>
            <w:rStyle w:val="Style"/>
            <w:color w:val="000000" w:themeColor="text1"/>
            <w:sz w:val="28"/>
            <w:szCs w:val="28"/>
          </w:rPr>
          <w:t>форме N 1.5риур</w:t>
        </w:r>
      </w:hyperlink>
      <w:r>
        <w:rPr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(приложение №5 к Положению).</w:t>
      </w:r>
    </w:p>
    <w:p>
      <w:pPr>
        <w:pStyle w:val="Normal"/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rFonts w:eastAsia="NSimSun"/>
          <w:color w:val="auto"/>
          <w:sz w:val="28"/>
          <w:szCs w:val="28"/>
        </w:rPr>
        <w:t>2.4. Рекомендовать главам администрации поселений района в течение трех рабочих дней, а за 10 и менее дней до дня голосования - незамедлительно, с даты утверждения (подписания) документов об изменении административного, муниципального деления, о присвоении наименований муниципальным образованиям, административно- территориальным единицам, городским и сельским поселениям, населенным пунктам, а также улицам, площадям и иным территориям сообщать в избирательную комиссию Шарангского района сведения о переименовании населенных пунктов, улиц, изменении и присвоении новых адресов жилых домов.</w:t>
      </w:r>
    </w:p>
    <w:p>
      <w:pPr>
        <w:pStyle w:val="Normal"/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2.5 Сведения, указанные в</w:t>
      </w:r>
      <w:r>
        <w:rPr>
          <w:color w:val="000000" w:themeColor="text1"/>
          <w:sz w:val="28"/>
          <w:szCs w:val="28"/>
        </w:rPr>
        <w:t xml:space="preserve"> </w:t>
      </w:r>
      <w:hyperlink w:anchor="Par17" w:tgtFrame="3.1. Органам регистрационного учета, органам, осуществляющим выдачу и замену документов, удостоверяющих личность гражданина на территории Российской Федерации, не реже чем один раз в месяц, 1-го числа, а при проведении выборов, референдума - 1 раз в неделю, пя">
        <w:r>
          <w:rPr>
            <w:rStyle w:val="Style"/>
            <w:color w:val="000000" w:themeColor="text1"/>
            <w:sz w:val="28"/>
            <w:szCs w:val="28"/>
          </w:rPr>
          <w:t>пунктах 2.1</w:t>
        </w:r>
      </w:hyperlink>
      <w:r>
        <w:rPr>
          <w:color w:val="000000" w:themeColor="text1"/>
          <w:sz w:val="28"/>
          <w:szCs w:val="28"/>
        </w:rPr>
        <w:t xml:space="preserve"> - </w:t>
      </w:r>
      <w:hyperlink w:anchor="Par22" w:tgtFrame="3.5. Установить сроки представления органами учета населения сведений о гражданах Российской Федерации для регистрации (учета) избирателей, участников референдума, вид информационных носителей, на которых они представляются (Приложение N 7).">
        <w:r>
          <w:rPr>
            <w:rStyle w:val="Style"/>
            <w:color w:val="000000" w:themeColor="text1"/>
            <w:sz w:val="28"/>
            <w:szCs w:val="28"/>
          </w:rPr>
          <w:t>2.4</w:t>
        </w:r>
      </w:hyperlink>
      <w:r>
        <w:rPr>
          <w:sz w:val="28"/>
          <w:szCs w:val="28"/>
        </w:rPr>
        <w:t xml:space="preserve"> настоящего постановления, обобщаются ответственным сотрудником администрации Шарангского муниципального района Нижегородской области и не реже чем один раз в месяц, 25-го числа,</w:t>
      </w:r>
      <w:r>
        <w:rPr>
          <w:rFonts w:eastAsia="NSimSun"/>
          <w:color w:val="auto"/>
          <w:sz w:val="24"/>
          <w:szCs w:val="24"/>
        </w:rPr>
        <w:t xml:space="preserve"> </w:t>
      </w:r>
      <w:r>
        <w:rPr>
          <w:rFonts w:eastAsia="NSimSun"/>
          <w:color w:val="auto"/>
          <w:sz w:val="28"/>
          <w:szCs w:val="28"/>
        </w:rPr>
        <w:t>а за 10 и менее дней до дня голосования - ежедневно,</w:t>
      </w:r>
      <w:r>
        <w:rPr>
          <w:sz w:val="28"/>
          <w:szCs w:val="28"/>
        </w:rPr>
        <w:t xml:space="preserve"> передаются системному администратору ГАС «Выборы» для формирования и ведения регистра избирателей, участников референдума в порядке, который утверждается избирательной комиссией Нижегородской области.</w:t>
      </w:r>
    </w:p>
    <w:p>
      <w:pPr>
        <w:pStyle w:val="Normal"/>
        <w:tabs>
          <w:tab w:val="clear" w:pos="709"/>
          <w:tab w:val="left" w:pos="1000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>3. Управляющей делами администрации Шарангского муниципального района Софроновой В.А. довести</w:t>
      </w:r>
      <w:r>
        <w:rPr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настоящее постановление, до лиц, указанных в пункте 2 настоящего постановления.</w:t>
      </w:r>
    </w:p>
    <w:p>
      <w:pPr>
        <w:pStyle w:val="Normal"/>
        <w:tabs>
          <w:tab w:val="clear" w:pos="709"/>
          <w:tab w:val="left" w:pos="1075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color w:val="auto"/>
          <w:sz w:val="28"/>
          <w:szCs w:val="28"/>
        </w:rPr>
        <w:t>4. Распоряжение администрации Шарангского района Нижегородской области от 09.03.2006 г. №59 «Об организации и осуществлении регистрации (учета) избирателей, участников референдума на территории Шарангского района» считать утратившим силу.</w:t>
      </w:r>
    </w:p>
    <w:p>
      <w:pPr>
        <w:pStyle w:val="Normal"/>
        <w:tabs>
          <w:tab w:val="clear" w:pos="709"/>
          <w:tab w:val="left" w:pos="1060" w:leader="none"/>
        </w:tabs>
        <w:suppressAutoHyphens w:val="true"/>
        <w:overflowPunct w:val="false"/>
        <w:spacing w:lineRule="auto" w:line="360"/>
        <w:ind w:left="0" w:right="0" w:firstLine="709"/>
        <w:jc w:val="both"/>
        <w:rPr/>
      </w:pPr>
      <w:r>
        <w:rPr>
          <w:rFonts w:cs="Times New Roman"/>
          <w:b w:val="false"/>
          <w:color w:val="auto"/>
          <w:sz w:val="28"/>
          <w:szCs w:val="28"/>
        </w:rPr>
        <w:t>5. Контроль за выполнением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bullet"/>
      <w:lvlText w:val="а"/>
      <w:lvlJc w:val="left"/>
      <w:pPr>
        <w:ind w:left="0" w:hanging="0"/>
      </w:pPr>
      <w:rPr>
        <w:rFonts w:ascii="OpenSymbol" w:hAnsi="OpenSymbol" w:cs="OpenSymbol" w:hint="default"/>
        <w:rFonts w:cs="OpenSymbol"/>
      </w:rPr>
    </w:lvl>
    <w:lvl w:ilvl="1">
      <w:start w:val="1"/>
      <w:numFmt w:val="bullet"/>
      <w:lvlText w:val="-"/>
      <w:lvlJc w:val="left"/>
      <w:pPr>
        <w:ind w:left="0" w:hanging="0"/>
      </w:pPr>
      <w:rPr>
        <w:rFonts w:ascii="OpenSymbol" w:hAnsi="OpenSymbol" w:cs="OpenSymbol" w:hint="default"/>
        <w:rFonts w:cs="OpenSymbol"/>
      </w:r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LibreOffice/6.3.4.2$Windows_X86_64 LibreOffice_project/60da17e045e08f1793c57c00ba83cdfce946d0aa</Application>
  <Pages>3</Pages>
  <Words>568</Words>
  <Characters>3921</Characters>
  <CharactersWithSpaces>4464</CharactersWithSpaces>
  <Paragraphs>24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2020-02-07T14:42:02Z</cp:lastPrinted>
  <dcterms:modified xsi:type="dcterms:W3CDTF">2020-02-07T14:42:10Z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