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uppressAutoHyphens w:val="true"/>
        <w:spacing w:lineRule="auto" w:line="216" w:before="40" w:after="0"/>
        <w:jc w:val="center"/>
        <w:rPr>
          <w:b/>
          <w:b/>
          <w:kern w:val="2"/>
          <w:sz w:val="32"/>
        </w:rPr>
      </w:pPr>
      <w:r>
        <w:rPr>
          <w:b/>
          <w:kern w:val="2"/>
          <w:sz w:val="32"/>
        </w:rPr>
      </w:r>
    </w:p>
    <w:p>
      <w:pPr>
        <w:pStyle w:val="Normal"/>
        <w:suppressAutoHyphens w:val="true"/>
        <w:spacing w:lineRule="auto" w:line="216" w:before="40" w:after="0"/>
        <w:jc w:val="center"/>
        <w:rPr>
          <w:b/>
          <w:b/>
          <w:kern w:val="2"/>
          <w:sz w:val="28"/>
          <w:szCs w:val="28"/>
        </w:rPr>
      </w:pPr>
      <w:r>
        <w:rPr>
          <w:b/>
          <w:kern w:val="2"/>
          <w:sz w:val="28"/>
          <w:szCs w:val="28"/>
        </w:rPr>
        <w:t xml:space="preserve">АДМИНИСТРАЦИЯ </w:t>
      </w:r>
    </w:p>
    <w:p>
      <w:pPr>
        <w:pStyle w:val="Normal"/>
        <w:suppressAutoHyphens w:val="true"/>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3"/>
        </w:numPr>
        <w:suppressAutoHyphens w:val="true"/>
        <w:rPr>
          <w:sz w:val="28"/>
          <w:szCs w:val="28"/>
        </w:rPr>
      </w:pPr>
      <w:r>
        <w:rPr>
          <w:sz w:val="28"/>
          <w:szCs w:val="28"/>
        </w:rPr>
        <w:t>НИЖЕГОРОДСКОЙ ОБЛАСТИ</w:t>
      </w:r>
    </w:p>
    <w:p>
      <w:pPr>
        <w:pStyle w:val="1"/>
        <w:numPr>
          <w:ilvl w:val="0"/>
          <w:numId w:val="3"/>
        </w:numPr>
        <w:suppressAutoHyphens w:val="true"/>
        <w:rPr>
          <w:spacing w:val="60"/>
          <w:sz w:val="28"/>
          <w:szCs w:val="28"/>
        </w:rPr>
      </w:pPr>
      <w:r>
        <w:rPr>
          <w:spacing w:val="60"/>
          <w:sz w:val="28"/>
          <w:szCs w:val="28"/>
        </w:rPr>
      </w:r>
    </w:p>
    <w:p>
      <w:pPr>
        <w:pStyle w:val="1"/>
        <w:numPr>
          <w:ilvl w:val="0"/>
          <w:numId w:val="3"/>
        </w:numPr>
        <w:suppressAutoHyphens w:val="true"/>
        <w:ind w:left="142" w:hanging="142"/>
        <w:rPr>
          <w:spacing w:val="60"/>
          <w:sz w:val="28"/>
          <w:szCs w:val="28"/>
        </w:rPr>
      </w:pPr>
      <w:r>
        <w:rPr>
          <w:spacing w:val="60"/>
          <w:sz w:val="28"/>
          <w:szCs w:val="28"/>
        </w:rPr>
        <w:t>ПОСТАНОВЛЕНИЕ</w:t>
      </w:r>
    </w:p>
    <w:p>
      <w:pPr>
        <w:pStyle w:val="Normal"/>
        <w:suppressAutoHyphens w:val="true"/>
        <w:jc w:val="both"/>
        <w:rPr>
          <w:spacing w:val="60"/>
          <w:sz w:val="28"/>
          <w:szCs w:val="28"/>
        </w:rPr>
      </w:pPr>
      <w:r>
        <w:rPr>
          <w:spacing w:val="60"/>
          <w:sz w:val="28"/>
          <w:szCs w:val="28"/>
        </w:rPr>
      </w:r>
    </w:p>
    <w:p>
      <w:pPr>
        <w:pStyle w:val="Normal"/>
        <w:suppressAutoHyphens w:val="true"/>
        <w:jc w:val="both"/>
        <w:rPr>
          <w:spacing w:val="60"/>
          <w:sz w:val="28"/>
          <w:szCs w:val="28"/>
        </w:rPr>
      </w:pPr>
      <w:r>
        <w:rPr>
          <w:spacing w:val="60"/>
          <w:sz w:val="28"/>
          <w:szCs w:val="28"/>
        </w:rPr>
      </w:r>
    </w:p>
    <w:p>
      <w:pPr>
        <w:pStyle w:val="Normal"/>
        <w:tabs>
          <w:tab w:val="clear" w:pos="709"/>
          <w:tab w:val="left" w:pos="8789" w:leader="none"/>
        </w:tabs>
        <w:suppressAutoHyphens w:val="true"/>
        <w:rPr/>
      </w:pPr>
      <w:r>
        <w:rPr>
          <w:sz w:val="28"/>
          <w:szCs w:val="28"/>
        </w:rPr>
        <w:t xml:space="preserve">от </w:t>
      </w:r>
      <w:r>
        <w:rPr>
          <w:sz w:val="28"/>
          <w:szCs w:val="28"/>
        </w:rPr>
        <w:t>06</w:t>
      </w:r>
      <w:r>
        <w:rPr>
          <w:sz w:val="28"/>
          <w:szCs w:val="28"/>
        </w:rPr>
        <w:t>.02.20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57</w:t>
      </w:r>
    </w:p>
    <w:p>
      <w:pPr>
        <w:pStyle w:val="Normal"/>
        <w:suppressAutoHyphens w:val="true"/>
        <w:jc w:val="both"/>
        <w:rPr>
          <w:sz w:val="28"/>
          <w:szCs w:val="28"/>
        </w:rPr>
      </w:pPr>
      <w:r>
        <w:rPr>
          <w:sz w:val="28"/>
          <w:szCs w:val="28"/>
        </w:rPr>
      </w:r>
    </w:p>
    <w:p>
      <w:pPr>
        <w:pStyle w:val="Normal"/>
        <w:suppressAutoHyphens w:val="true"/>
        <w:jc w:val="both"/>
        <w:rPr>
          <w:sz w:val="28"/>
          <w:szCs w:val="28"/>
        </w:rPr>
      </w:pPr>
      <w:r>
        <w:rPr>
          <w:sz w:val="28"/>
          <w:szCs w:val="28"/>
        </w:rPr>
      </w:r>
    </w:p>
    <w:p>
      <w:pPr>
        <w:pStyle w:val="Normal"/>
        <w:suppressAutoHyphens w:val="true"/>
        <w:jc w:val="both"/>
        <w:rPr>
          <w:sz w:val="28"/>
          <w:szCs w:val="28"/>
        </w:rPr>
      </w:pPr>
      <w:r>
        <w:rPr>
          <w:sz w:val="28"/>
          <w:szCs w:val="28"/>
        </w:rPr>
      </w:r>
    </w:p>
    <w:p>
      <w:pPr>
        <w:pStyle w:val="Normal"/>
        <w:suppressAutoHyphens w:val="true"/>
        <w:ind w:left="1417" w:right="1417" w:hanging="0"/>
        <w:jc w:val="center"/>
        <w:rPr/>
      </w:pPr>
      <w:r>
        <w:rPr>
          <w:rStyle w:val="21"/>
          <w:bCs w:val="false"/>
          <w:sz w:val="28"/>
          <w:szCs w:val="28"/>
        </w:rPr>
        <w:t>Об утверждении комплексного плана мероприятий по обеспечению безопасности дорожного движения на территории Шарангского муниципального района на 2020-2022 годы</w:t>
      </w:r>
    </w:p>
    <w:p>
      <w:pPr>
        <w:pStyle w:val="ConsPlusNormal"/>
        <w:widowControl/>
        <w:suppressAutoHyphens w:val="true"/>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suppressAutoHyphens w:val="true"/>
        <w:ind w:hanging="0"/>
        <w:rPr>
          <w:rFonts w:ascii="Times New Roman" w:hAnsi="Times New Roman" w:cs="Times New Roman"/>
          <w:b/>
          <w:b/>
          <w:sz w:val="28"/>
          <w:szCs w:val="28"/>
        </w:rPr>
      </w:pPr>
      <w:r>
        <w:rPr>
          <w:rFonts w:cs="Times New Roman" w:ascii="Times New Roman" w:hAnsi="Times New Roman"/>
          <w:b/>
          <w:sz w:val="28"/>
          <w:szCs w:val="28"/>
        </w:rPr>
      </w:r>
    </w:p>
    <w:p>
      <w:pPr>
        <w:pStyle w:val="22"/>
        <w:tabs>
          <w:tab w:val="clear" w:pos="709"/>
          <w:tab w:val="center" w:pos="4321" w:leader="none"/>
          <w:tab w:val="right" w:pos="5545" w:leader="none"/>
          <w:tab w:val="left" w:pos="5790" w:leader="none"/>
        </w:tabs>
        <w:suppressAutoHyphens w:val="true"/>
        <w:spacing w:lineRule="auto" w:line="360"/>
        <w:ind w:left="0" w:right="0" w:firstLine="709"/>
        <w:jc w:val="both"/>
        <w:rPr/>
      </w:pPr>
      <w:r>
        <w:rPr>
          <w:rStyle w:val="11"/>
          <w:rFonts w:cs="Times New Roman" w:ascii="Times New Roman" w:hAnsi="Times New Roman"/>
          <w:sz w:val="28"/>
          <w:szCs w:val="28"/>
        </w:rPr>
        <w:t>В соответствии с Федеральными законами от 06.10.2003 № 131-ФЗ «Об общих принципах организации местного самоуправления в Российской Федерации», от 10.12.1995 № 196-ФЗ</w:t>
        <w:tab/>
        <w:t>«О безопасности дорожного движения», в целях обеспечения безопасности дорожного движения на автомобильных дорогах местного значения, сокращения детского дорожно</w:t>
        <w:softHyphen/>
        <w:t xml:space="preserve">транспортного травматизма администрация Шарангского муниципального района </w:t>
      </w:r>
    </w:p>
    <w:p>
      <w:pPr>
        <w:pStyle w:val="22"/>
        <w:tabs>
          <w:tab w:val="clear" w:pos="709"/>
          <w:tab w:val="center" w:pos="4321" w:leader="none"/>
          <w:tab w:val="right" w:pos="5545" w:leader="none"/>
          <w:tab w:val="left" w:pos="5790" w:leader="none"/>
        </w:tabs>
        <w:suppressAutoHyphens w:val="true"/>
        <w:spacing w:lineRule="auto" w:line="360"/>
        <w:ind w:left="0" w:right="0" w:hanging="0"/>
        <w:jc w:val="both"/>
        <w:rPr/>
      </w:pPr>
      <w:r>
        <w:rPr>
          <w:rStyle w:val="11"/>
          <w:rFonts w:cs="Times New Roman" w:ascii="Times New Roman" w:hAnsi="Times New Roman"/>
          <w:b/>
          <w:sz w:val="28"/>
          <w:szCs w:val="28"/>
        </w:rPr>
        <w:t>п о с т а н о в л я е т:</w:t>
      </w:r>
    </w:p>
    <w:p>
      <w:pPr>
        <w:pStyle w:val="22"/>
        <w:suppressAutoHyphens w:val="true"/>
        <w:spacing w:lineRule="auto" w:line="360"/>
        <w:ind w:left="0" w:right="0" w:firstLine="709"/>
        <w:jc w:val="both"/>
        <w:rPr/>
      </w:pPr>
      <w:r>
        <w:rPr>
          <w:rStyle w:val="11"/>
          <w:rFonts w:cs="Times New Roman" w:ascii="Times New Roman" w:hAnsi="Times New Roman"/>
          <w:sz w:val="28"/>
          <w:szCs w:val="28"/>
        </w:rPr>
        <w:t>1. Утвердить Комплексный план мероприятий по обеспечению безопасности дорожного движения на территории Шарангского муниципального района на 2020-2022 годы (прилагается) (далее также- Комплексный план мероприятий).</w:t>
      </w:r>
    </w:p>
    <w:p>
      <w:pPr>
        <w:pStyle w:val="22"/>
        <w:suppressAutoHyphens w:val="true"/>
        <w:overflowPunct w:val="true"/>
        <w:spacing w:lineRule="auto" w:line="360"/>
        <w:ind w:left="0" w:right="0" w:firstLine="709"/>
        <w:jc w:val="both"/>
        <w:rPr/>
      </w:pPr>
      <w:r>
        <w:rPr>
          <w:rStyle w:val="11"/>
          <w:rFonts w:cs="Times New Roman" w:ascii="Times New Roman" w:hAnsi="Times New Roman"/>
          <w:sz w:val="28"/>
          <w:szCs w:val="28"/>
        </w:rPr>
        <w:t>2. Управлению образования и молодёжной политики администрации Шарангского муниципального района, комиссии по обеспечению безопасности дорожного движения в Шарангском муниципальном районе организовать исполнение Комплексного плана мероприятий.</w:t>
      </w:r>
    </w:p>
    <w:p>
      <w:pPr>
        <w:pStyle w:val="22"/>
        <w:suppressAutoHyphens w:val="true"/>
        <w:overflowPunct w:val="true"/>
        <w:spacing w:lineRule="auto" w:line="360"/>
        <w:ind w:left="0" w:right="0" w:firstLine="709"/>
        <w:jc w:val="both"/>
        <w:rPr/>
      </w:pPr>
      <w:r>
        <w:rPr>
          <w:rStyle w:val="11"/>
          <w:rFonts w:cs="Times New Roman" w:ascii="Times New Roman" w:hAnsi="Times New Roman"/>
          <w:sz w:val="28"/>
          <w:szCs w:val="28"/>
        </w:rPr>
        <w:t>3. Рекомендовать главам администраций поселковой и сельских поселений района, руководителям ОГИБДД МО МВД РОССИИ «Уренский» МО МВД России «Уренский», ГБУЗ НО Шарангская ЦРБ принять необходимые меры по выполнению Комплексного плана мероприятий по обеспечению безопасности дорожного движения на территории Шарангского муниципального района на 2020-2022 годы в пределах своих полномочий.</w:t>
      </w:r>
    </w:p>
    <w:p>
      <w:pPr>
        <w:pStyle w:val="22"/>
        <w:suppressAutoHyphens w:val="true"/>
        <w:overflowPunct w:val="true"/>
        <w:spacing w:lineRule="auto" w:line="360"/>
        <w:ind w:left="0" w:right="0" w:firstLine="709"/>
        <w:jc w:val="both"/>
        <w:rPr/>
      </w:pPr>
      <w:r>
        <w:rPr>
          <w:rStyle w:val="11"/>
          <w:rFonts w:cs="Times New Roman" w:ascii="Times New Roman" w:hAnsi="Times New Roman"/>
          <w:sz w:val="28"/>
          <w:szCs w:val="28"/>
        </w:rPr>
        <w:t>4. Назначить комиссию по обеспечению безопасности дорожного движения в Шарангском муниципальном районе координатором выполнения комплексного плана мероприятий по обеспечению безопасности дорожного движения на территории Шарангского муниципального района на 2020-2022 годы.</w:t>
      </w:r>
    </w:p>
    <w:p>
      <w:pPr>
        <w:pStyle w:val="22"/>
        <w:suppressAutoHyphens w:val="true"/>
        <w:overflowPunct w:val="true"/>
        <w:spacing w:lineRule="auto" w:line="360"/>
        <w:ind w:left="0" w:right="0" w:firstLine="709"/>
        <w:jc w:val="both"/>
        <w:rPr>
          <w:sz w:val="28"/>
          <w:szCs w:val="28"/>
        </w:rPr>
      </w:pPr>
      <w:r>
        <w:rPr>
          <w:rFonts w:eastAsia="Calibri" w:cs="Times New Roman" w:ascii="Times New Roman" w:hAnsi="Times New Roman"/>
          <w:b w:val="false"/>
          <w:bCs/>
          <w:sz w:val="28"/>
          <w:szCs w:val="28"/>
        </w:rPr>
        <w:t>5. Контроль за исполнением настоящего постановления возложить на заместителя главы администрации Д.О. Ожиганова.</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suppressAutoHyphens w:val="true"/>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suppressAutoHyphens w:val="true"/>
        <w:ind w:firstLine="709"/>
        <w:jc w:val="both"/>
        <w:rPr>
          <w:rFonts w:ascii="Times New Roman" w:hAnsi="Times New Roman" w:cs="Times New Roman"/>
          <w:sz w:val="28"/>
          <w:szCs w:val="28"/>
        </w:rPr>
      </w:pPr>
      <w:r>
        <w:rPr>
          <w:rFonts w:cs="Times New Roman" w:ascii="Times New Roman" w:hAnsi="Times New Roman"/>
          <w:sz w:val="28"/>
          <w:szCs w:val="28"/>
        </w:rPr>
      </w:r>
    </w:p>
    <w:p>
      <w:pPr>
        <w:sectPr>
          <w:headerReference w:type="default" r:id="rId3"/>
          <w:headerReference w:type="first" r:id="rId4"/>
          <w:type w:val="nextPage"/>
          <w:pgSz w:w="11906" w:h="16838"/>
          <w:pgMar w:left="1418" w:right="850" w:header="930" w:top="987" w:footer="0" w:bottom="1118" w:gutter="0"/>
          <w:pgNumType w:fmt="decimal"/>
          <w:formProt w:val="false"/>
          <w:titlePg/>
          <w:textDirection w:val="lrTb"/>
          <w:docGrid w:type="default" w:linePitch="360" w:charSpace="24576"/>
        </w:sectPr>
        <w:pStyle w:val="Normal"/>
        <w:tabs>
          <w:tab w:val="clear" w:pos="709"/>
          <w:tab w:val="left" w:pos="8220" w:leader="none"/>
        </w:tabs>
        <w:suppressAutoHyphens w:val="true"/>
        <w:jc w:val="both"/>
        <w:rPr/>
      </w:pPr>
      <w:r>
        <w:rPr>
          <w:sz w:val="28"/>
          <w:szCs w:val="28"/>
        </w:rPr>
        <w:t>Глава администрации</w:t>
        <w:tab/>
        <w:t>О.Л.Зыков</w:t>
      </w:r>
    </w:p>
    <w:p>
      <w:pPr>
        <w:pStyle w:val="Normal"/>
        <w:widowControl/>
        <w:suppressAutoHyphens w:val="true"/>
        <w:overflowPunct w:val="true"/>
        <w:bidi w:val="0"/>
        <w:spacing w:before="0" w:after="0"/>
        <w:ind w:left="10488" w:right="0" w:hanging="0"/>
        <w:jc w:val="center"/>
        <w:rPr>
          <w:sz w:val="24"/>
          <w:szCs w:val="24"/>
        </w:rPr>
      </w:pPr>
      <w:r>
        <w:rPr>
          <w:sz w:val="24"/>
          <w:szCs w:val="24"/>
        </w:rPr>
        <w:t>Приложение</w:t>
      </w:r>
    </w:p>
    <w:p>
      <w:pPr>
        <w:pStyle w:val="Normal"/>
        <w:widowControl/>
        <w:suppressAutoHyphens w:val="true"/>
        <w:overflowPunct w:val="true"/>
        <w:bidi w:val="0"/>
        <w:spacing w:before="0" w:after="0"/>
        <w:ind w:left="10488" w:right="0" w:hanging="0"/>
        <w:jc w:val="center"/>
        <w:rPr/>
      </w:pPr>
      <w:r>
        <w:rPr>
          <w:sz w:val="24"/>
          <w:szCs w:val="24"/>
        </w:rPr>
        <w:t>к постановлению администрации</w:t>
      </w:r>
    </w:p>
    <w:p>
      <w:pPr>
        <w:pStyle w:val="Normal"/>
        <w:widowControl/>
        <w:suppressAutoHyphens w:val="true"/>
        <w:overflowPunct w:val="true"/>
        <w:bidi w:val="0"/>
        <w:spacing w:before="0" w:after="0"/>
        <w:ind w:left="10488" w:right="0" w:hanging="0"/>
        <w:jc w:val="center"/>
        <w:rPr>
          <w:sz w:val="24"/>
          <w:szCs w:val="24"/>
        </w:rPr>
      </w:pPr>
      <w:r>
        <w:rPr>
          <w:sz w:val="24"/>
          <w:szCs w:val="24"/>
        </w:rPr>
        <w:t>Шарангского муниципального района</w:t>
      </w:r>
    </w:p>
    <w:p>
      <w:pPr>
        <w:pStyle w:val="Normal"/>
        <w:widowControl/>
        <w:suppressAutoHyphens w:val="true"/>
        <w:overflowPunct w:val="true"/>
        <w:bidi w:val="0"/>
        <w:spacing w:before="0" w:after="0"/>
        <w:ind w:left="10488" w:right="0" w:hanging="0"/>
        <w:jc w:val="center"/>
        <w:rPr/>
      </w:pPr>
      <w:r>
        <w:rPr>
          <w:sz w:val="24"/>
          <w:szCs w:val="24"/>
        </w:rPr>
        <w:t xml:space="preserve">от </w:t>
      </w:r>
      <w:r>
        <w:rPr>
          <w:sz w:val="24"/>
          <w:szCs w:val="24"/>
        </w:rPr>
        <w:t>06.02.2020 г. № 57</w:t>
      </w:r>
    </w:p>
    <w:p>
      <w:pPr>
        <w:pStyle w:val="Normal"/>
        <w:suppressAutoHyphens w:val="true"/>
        <w:ind w:left="10206" w:hanging="0"/>
        <w:jc w:val="center"/>
        <w:rPr>
          <w:sz w:val="24"/>
          <w:szCs w:val="24"/>
        </w:rPr>
      </w:pPr>
      <w:r>
        <w:rPr>
          <w:sz w:val="24"/>
          <w:szCs w:val="24"/>
        </w:rPr>
        <w:t xml:space="preserve"> </w:t>
      </w:r>
    </w:p>
    <w:p>
      <w:pPr>
        <w:pStyle w:val="Normal"/>
        <w:suppressAutoHyphens w:val="true"/>
        <w:ind w:left="1417" w:right="1417" w:hanging="0"/>
        <w:jc w:val="center"/>
        <w:rPr/>
      </w:pPr>
      <w:r>
        <w:rPr>
          <w:rStyle w:val="21"/>
          <w:bCs w:val="false"/>
          <w:sz w:val="28"/>
          <w:szCs w:val="28"/>
        </w:rPr>
        <w:t>Комплексный план мероприятий по обеспечению безопасности дорожного движения на территории Шарангского муниципального района на 2020-2022 годы</w:t>
      </w:r>
    </w:p>
    <w:p>
      <w:pPr>
        <w:pStyle w:val="Normal"/>
        <w:suppressAutoHyphens w:val="true"/>
        <w:jc w:val="center"/>
        <w:rPr>
          <w:b/>
          <w:b/>
          <w:sz w:val="24"/>
          <w:szCs w:val="24"/>
        </w:rPr>
      </w:pPr>
      <w:r>
        <w:rPr>
          <w:b/>
          <w:sz w:val="24"/>
          <w:szCs w:val="24"/>
        </w:rPr>
      </w:r>
    </w:p>
    <w:tbl>
      <w:tblPr>
        <w:tblW w:w="15510" w:type="dxa"/>
        <w:jc w:val="left"/>
        <w:tblInd w:w="30" w:type="dxa"/>
        <w:tblCellMar>
          <w:top w:w="0" w:type="dxa"/>
          <w:left w:w="108" w:type="dxa"/>
          <w:bottom w:w="0" w:type="dxa"/>
          <w:right w:w="108" w:type="dxa"/>
        </w:tblCellMar>
      </w:tblPr>
      <w:tblGrid>
        <w:gridCol w:w="855"/>
        <w:gridCol w:w="7530"/>
        <w:gridCol w:w="2610"/>
        <w:gridCol w:w="4515"/>
      </w:tblGrid>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 xml:space="preserve">№ </w:t>
            </w:r>
            <w:r>
              <w:rPr>
                <w:sz w:val="24"/>
                <w:szCs w:val="24"/>
              </w:rPr>
              <w:t>п/п</w:t>
            </w:r>
          </w:p>
        </w:tc>
        <w:tc>
          <w:tcPr>
            <w:tcW w:w="7530"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Наименование мероприятий</w:t>
            </w:r>
          </w:p>
        </w:tc>
        <w:tc>
          <w:tcPr>
            <w:tcW w:w="2610"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Срок реализации</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Normal"/>
              <w:suppressAutoHyphens w:val="true"/>
              <w:jc w:val="center"/>
              <w:rPr>
                <w:sz w:val="24"/>
                <w:szCs w:val="24"/>
              </w:rPr>
            </w:pPr>
            <w:r>
              <w:rPr>
                <w:sz w:val="24"/>
                <w:szCs w:val="24"/>
              </w:rPr>
              <w:t>Ответственные исполнители</w:t>
            </w:r>
          </w:p>
        </w:tc>
      </w:tr>
      <w:tr>
        <w:trPr/>
        <w:tc>
          <w:tcPr>
            <w:tcW w:w="15510" w:type="dxa"/>
            <w:gridSpan w:val="4"/>
            <w:tcBorders>
              <w:top w:val="single" w:sz="4" w:space="0" w:color="000000"/>
              <w:left w:val="single" w:sz="4" w:space="0" w:color="000000"/>
              <w:bottom w:val="single" w:sz="4" w:space="0" w:color="000000"/>
              <w:right w:val="single" w:sz="4" w:space="0" w:color="000000"/>
            </w:tcBorders>
            <w:shd w:fill="auto" w:val="clear"/>
          </w:tcPr>
          <w:p>
            <w:pPr>
              <w:pStyle w:val="Normal"/>
              <w:suppressAutoHyphens w:val="true"/>
              <w:jc w:val="center"/>
              <w:rPr/>
            </w:pPr>
            <w:r>
              <w:rPr>
                <w:b/>
                <w:sz w:val="24"/>
                <w:szCs w:val="24"/>
              </w:rPr>
              <w:t>1.Мероприятия, направленные на предупреждение опасного поведения участников дорожного движения</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pPr>
            <w:r>
              <w:rPr>
                <w:sz w:val="24"/>
                <w:szCs w:val="24"/>
              </w:rPr>
              <w:t>1.1.</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Привлечение общественных объединений к решению проблем безопасности дорожного движения (проведение профилактических мероприятий среди различных категорий участников дорожного движения)</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ОГИБДД МО МВД РОССИИ «Уренский» (по согласованию) ;Управление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1.2</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Распространение наглядной агитации по предупреждению опасного и формированию безопасного поведения участников дорожного движения (распространение листовок, плакатов для детских учреждений, памяток рекламы, календарей, значков и т.п.)</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8"/>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ОГИБДД МО МВД РОССИИ «Уренский» (по согласованию) ;Управление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1.3.</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jc w:val="both"/>
              <w:rPr/>
            </w:pPr>
            <w:r>
              <w:rPr>
                <w:rStyle w:val="115pt"/>
                <w:rFonts w:eastAsia="NSimSun"/>
                <w:sz w:val="24"/>
                <w:szCs w:val="24"/>
              </w:rPr>
              <w:t>Проведение информационно-пропагандистских кампаний с целью повышения грамотности, ответственности и уровня самосознания водителей и пассажиров (размещение баннера)</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30"/>
              <w:ind w:left="120" w:hanging="0"/>
              <w:jc w:val="both"/>
              <w:rPr/>
            </w:pPr>
            <w:r>
              <w:rPr>
                <w:rStyle w:val="115pt"/>
                <w:rFonts w:eastAsia="NSimSun"/>
                <w:sz w:val="24"/>
                <w:szCs w:val="24"/>
              </w:rPr>
              <w:t>ОГИБДД МО МВД РОССИИ «Уренский» (по согласованию)</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pPr>
            <w:r>
              <w:rPr>
                <w:sz w:val="24"/>
                <w:szCs w:val="24"/>
              </w:rPr>
              <w:t>1.4.</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Создание и размещение в СМИ информационно-пропагандистских материалов по обеспечению безопасности дорожного движения</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ОГИБДД МО МВД РОССИИ «Уренский» (по согласованию); Комиссия по обеспечению безопасности дорожного движения в Шарангском муниципальном районе</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pPr>
            <w:r>
              <w:rPr>
                <w:sz w:val="24"/>
                <w:szCs w:val="24"/>
              </w:rPr>
              <w:t>1.5.</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Приобретение для дошкольных образовательных организаций оборудования, позволяющего в игровой форме формировать навыки безопасного поведения на дороге</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8"/>
              <w:jc w:val="both"/>
              <w:rPr/>
            </w:pPr>
            <w:r>
              <w:rPr>
                <w:rStyle w:val="115pt"/>
                <w:rFonts w:eastAsia="NSimSun"/>
                <w:sz w:val="24"/>
                <w:szCs w:val="24"/>
              </w:rPr>
              <w:t>В течение 2021-2022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30"/>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pPr>
            <w:r>
              <w:rPr>
                <w:sz w:val="24"/>
                <w:szCs w:val="24"/>
              </w:rPr>
              <w:t>1.6.</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8"/>
              <w:ind w:left="120" w:hanging="0"/>
              <w:jc w:val="both"/>
              <w:rPr/>
            </w:pPr>
            <w:r>
              <w:rPr>
                <w:rStyle w:val="115pt"/>
                <w:rFonts w:eastAsia="NSimSun"/>
                <w:sz w:val="24"/>
                <w:szCs w:val="24"/>
              </w:rPr>
              <w:t>Изготовление и распространение световозвращающих приспособлений среди дошкольников и учащихся младших классов образовательных организаций</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8"/>
              <w:ind w:left="-84" w:hanging="0"/>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8"/>
              <w:ind w:left="120" w:hanging="0"/>
              <w:jc w:val="both"/>
              <w:rPr/>
            </w:pPr>
            <w:r>
              <w:rPr>
                <w:rStyle w:val="115pt"/>
                <w:rFonts w:eastAsia="NSimSun"/>
                <w:sz w:val="24"/>
                <w:szCs w:val="24"/>
              </w:rPr>
              <w:t>ОГИБДД МО МВД РОССИИ «Уренский» (по согласованию) ;Управление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pPr>
            <w:r>
              <w:rPr>
                <w:sz w:val="24"/>
                <w:szCs w:val="24"/>
              </w:rPr>
              <w:t>1.7.</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Проведение совместных целевых профилактических мероприятий «Внимание- дети!», «Внимание-пешеход!», «Вежливый водитель», и др., направленных на укрепление дисциплины участников дорожного движения</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30"/>
              <w:ind w:left="120" w:hanging="0"/>
              <w:jc w:val="both"/>
              <w:rPr/>
            </w:pPr>
            <w:r>
              <w:rPr>
                <w:rStyle w:val="115pt"/>
                <w:rFonts w:eastAsia="NSimSun"/>
                <w:sz w:val="24"/>
                <w:szCs w:val="24"/>
              </w:rPr>
              <w:t>ОГИБДД МО МВД РОССИИ «Уренский» (по согласованию)</w:t>
            </w:r>
          </w:p>
        </w:tc>
      </w:tr>
      <w:tr>
        <w:trPr/>
        <w:tc>
          <w:tcPr>
            <w:tcW w:w="15510" w:type="dxa"/>
            <w:gridSpan w:val="4"/>
            <w:tcBorders>
              <w:top w:val="single" w:sz="4" w:space="0" w:color="000000"/>
              <w:left w:val="single" w:sz="4" w:space="0" w:color="000000"/>
              <w:bottom w:val="single" w:sz="4" w:space="0" w:color="000000"/>
              <w:right w:val="single" w:sz="4" w:space="0" w:color="000000"/>
            </w:tcBorders>
            <w:shd w:fill="auto" w:val="clear"/>
          </w:tcPr>
          <w:p>
            <w:pPr>
              <w:pStyle w:val="Normal"/>
              <w:suppressAutoHyphens w:val="true"/>
              <w:jc w:val="center"/>
              <w:rPr/>
            </w:pPr>
            <w:r>
              <w:rPr>
                <w:rStyle w:val="115pt1"/>
                <w:sz w:val="24"/>
                <w:szCs w:val="24"/>
              </w:rPr>
              <w:t>2.Мероприятия по предупреждению детского дорожно-транспортного травматизма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4"/>
              <w:ind w:left="260" w:hanging="0"/>
              <w:jc w:val="both"/>
              <w:rPr/>
            </w:pPr>
            <w:r>
              <w:rPr>
                <w:rStyle w:val="115pt"/>
                <w:rFonts w:eastAsia="NSimSun"/>
                <w:sz w:val="24"/>
                <w:szCs w:val="24"/>
              </w:rPr>
              <w:t>Оформление (обновление) классных «Уголков безопасности дорожного движения»</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2.2.</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Проведение выставок с учебно-методической литературой по ПДД и навыками безопасного поведения учащихся на улицах</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2.3.</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Распространение памяток родителям по обучению детей правилам дорожного движения и профилактике детского дорожно-транспортного травматизма.</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rHeight w:val="1035" w:hRule="atLeast"/>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2.4.</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Проведение классных часов по ПДД и профилактике детского дорожно</w:t>
              <w:softHyphen/>
              <w:t>транспортного травматизма, приглашение сотрудников ГИБДД на классные тематические часы</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 (1 раз в учебную четверть)</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8"/>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 ОГИБДД МО МВД РОССИИ «Уренский» (по согласованию)</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2.5.</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Проведение мероприятий по ПДД и профилактике детского дорожно-транспортного травматизма в школьных летних лагерях</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jc w:val="both"/>
              <w:rPr/>
            </w:pPr>
            <w:r>
              <w:rPr>
                <w:rStyle w:val="115pt"/>
                <w:rFonts w:eastAsia="NSimSun"/>
                <w:sz w:val="24"/>
                <w:szCs w:val="24"/>
              </w:rPr>
              <w:t>2020-2022 гг (июнь)</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2.6.</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260" w:hanging="0"/>
              <w:jc w:val="both"/>
              <w:rPr/>
            </w:pPr>
            <w:r>
              <w:rPr>
                <w:rStyle w:val="115pt"/>
                <w:rFonts w:eastAsia="NSimSun"/>
                <w:sz w:val="24"/>
                <w:szCs w:val="24"/>
              </w:rPr>
              <w:t>Проведение конкурсов рисунков и плакатов по соблюдению Правил дорожной безопасности</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2"/>
                <w:rFonts w:eastAsia="NSimSun"/>
                <w:sz w:val="24"/>
                <w:szCs w:val="24"/>
              </w:rPr>
              <w:t xml:space="preserve">2020-2022 </w:t>
            </w:r>
            <w:r>
              <w:rPr>
                <w:rStyle w:val="115pt2"/>
                <w:rFonts w:eastAsia="NSimSun"/>
                <w:sz w:val="24"/>
                <w:szCs w:val="24"/>
                <w:lang w:val="en-US" w:eastAsia="en-US" w:bidi="en-US"/>
              </w:rPr>
              <w:t xml:space="preserve">it </w:t>
            </w:r>
            <w:r>
              <w:rPr>
                <w:rStyle w:val="115pt2"/>
                <w:rFonts w:eastAsia="NSimSun"/>
                <w:sz w:val="24"/>
                <w:szCs w:val="24"/>
              </w:rPr>
              <w:t>(</w:t>
            </w:r>
            <w:r>
              <w:rPr>
                <w:rStyle w:val="115pt"/>
                <w:rFonts w:eastAsia="NSimSun"/>
                <w:sz w:val="24"/>
                <w:szCs w:val="24"/>
              </w:rPr>
              <w:t>март-апрель)</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2.7.</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Проведение инструктажа в классах перед началом каникул по ПДД и профилактике детского дорожно-транспортного травматизма</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2.8.</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4"/>
              <w:ind w:left="260" w:hanging="0"/>
              <w:jc w:val="both"/>
              <w:rPr/>
            </w:pPr>
            <w:r>
              <w:rPr>
                <w:rStyle w:val="115pt"/>
                <w:rFonts w:eastAsia="NSimSun"/>
                <w:sz w:val="24"/>
                <w:szCs w:val="24"/>
              </w:rPr>
              <w:t>Выступления сотрудников ГИБДД перед родителями на общешкольных и классных родительских собраниях</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ОГИБДД МО МВД РОССИИ «Уренский» (по согласованию) ;Управление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2.9.</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Привлечение медицинских работников для выступлений на родительских собраниях по оказанию первой помощи при ДТП</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 ГБУЗ НО «Шарангская ЦРБ»</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2.10.</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Проведение конкурса мультимедийных проектов по правилам дорожного движения «ЮИД-это здорово!»</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8"/>
              <w:jc w:val="both"/>
              <w:rPr/>
            </w:pPr>
            <w:r>
              <w:rPr>
                <w:rStyle w:val="115pt"/>
                <w:rFonts w:eastAsia="NSimSun"/>
                <w:sz w:val="24"/>
                <w:szCs w:val="24"/>
              </w:rPr>
              <w:t>2020-2022 гг (январь-февраль)</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8"/>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2.11.</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Организация и проведение цикла мероприятий для начального звена «Красный, желтый, зеленый» по правилам дорожного движения</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2020-2022 гг (январь-февраль)</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2.12.</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260" w:hanging="0"/>
              <w:jc w:val="both"/>
              <w:rPr/>
            </w:pPr>
            <w:r>
              <w:rPr>
                <w:rStyle w:val="115pt"/>
                <w:rFonts w:eastAsia="NSimSun"/>
                <w:sz w:val="24"/>
                <w:szCs w:val="24"/>
              </w:rPr>
              <w:t>Организация и проведение игры «Брейн-ринг» по знанию правил дорожного движения для учащихся 5-6 классов</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2020-2022 гг (февраль-март)</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2.13.</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Проведение конкурса «Автоэрудит» (конкурс ребусов, оригинальных рисунков «Новый дорожный знак», кроссвордов, стихов, слоганов, посвященных ПДД)</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2020-2022 гг (март-апрель)</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2.14.</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260" w:hanging="0"/>
              <w:jc w:val="both"/>
              <w:rPr/>
            </w:pPr>
            <w:r>
              <w:rPr>
                <w:rStyle w:val="115pt"/>
                <w:rFonts w:eastAsia="NSimSun"/>
                <w:sz w:val="24"/>
                <w:szCs w:val="24"/>
              </w:rPr>
              <w:t>Проведение конкурса сочинений-рассказов и фотографий «Смешные истории на дорогах»</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2020-2022 гг (март-апрель)</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8"/>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2.15.</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260" w:hanging="0"/>
              <w:jc w:val="both"/>
              <w:rPr/>
            </w:pPr>
            <w:r>
              <w:rPr>
                <w:rStyle w:val="115pt"/>
                <w:rFonts w:eastAsia="NSimSun"/>
                <w:sz w:val="24"/>
                <w:szCs w:val="24"/>
              </w:rPr>
              <w:t>Участие учащихся общеобразовательных учреждений в областном конкурсе «Светофор»</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2020-2022 гг (март-апрель)</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2.16.</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260" w:hanging="0"/>
              <w:jc w:val="both"/>
              <w:rPr/>
            </w:pPr>
            <w:r>
              <w:rPr>
                <w:rStyle w:val="115pt"/>
                <w:rFonts w:eastAsia="NSimSun"/>
                <w:sz w:val="24"/>
                <w:szCs w:val="24"/>
              </w:rPr>
              <w:t>Участие учащихся общеобразовательных учреждений в областном конкурсе «Безопасное колесо»</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2020-2022 гг (март-май)</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2.17.</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260" w:hanging="0"/>
              <w:jc w:val="both"/>
              <w:rPr/>
            </w:pPr>
            <w:r>
              <w:rPr>
                <w:rStyle w:val="115pt"/>
                <w:rFonts w:eastAsia="NSimSun"/>
                <w:sz w:val="24"/>
                <w:szCs w:val="24"/>
              </w:rPr>
              <w:t>Проведение бесед в дошкольных общеобразовательных учреждениях «Незнайка на дороге», «Правила дорожного движения в картинках» , «Осторожный пешеход», просмотр видеофильмов по предупреждению ДТП</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2.18.</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260" w:hanging="0"/>
              <w:jc w:val="both"/>
              <w:rPr/>
            </w:pPr>
            <w:r>
              <w:rPr>
                <w:rStyle w:val="115pt"/>
                <w:rFonts w:eastAsia="NSimSun"/>
                <w:sz w:val="24"/>
                <w:szCs w:val="24"/>
              </w:rPr>
              <w:t>Участие дошкольных образовательных учреждений в областном конкурсе по безопасности дорожного движения «Светофорчик»</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2020-2022 гг (январь-февраль)</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15510" w:type="dxa"/>
            <w:gridSpan w:val="4"/>
            <w:tcBorders>
              <w:top w:val="single" w:sz="4" w:space="0" w:color="000000"/>
              <w:left w:val="single" w:sz="4" w:space="0" w:color="000000"/>
              <w:bottom w:val="single" w:sz="4" w:space="0" w:color="000000"/>
              <w:right w:val="single" w:sz="4" w:space="0" w:color="000000"/>
            </w:tcBorders>
            <w:shd w:fill="auto" w:val="clear"/>
          </w:tcPr>
          <w:p>
            <w:pPr>
              <w:pStyle w:val="Normal"/>
              <w:suppressAutoHyphens w:val="true"/>
              <w:jc w:val="center"/>
              <w:rPr/>
            </w:pPr>
            <w:r>
              <w:rPr>
                <w:rStyle w:val="115pt1"/>
                <w:sz w:val="24"/>
                <w:szCs w:val="24"/>
              </w:rPr>
              <w:t>3.Обеспечение безопасных условий движения на улично-дорожной сети</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3.1.</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Содержание автодорог (расчистка, обработка противогололедными материалами, устранение незначительных разрушений, деформаций и повреждений на дорогах и т.д.)</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69"/>
              <w:jc w:val="both"/>
              <w:rPr/>
            </w:pPr>
            <w:r>
              <w:rPr>
                <w:rStyle w:val="115pt"/>
                <w:rFonts w:eastAsia="NSimSun"/>
                <w:sz w:val="24"/>
                <w:szCs w:val="24"/>
              </w:rPr>
              <w:t>Администрации поселковой и сельских поселений района (по согласованию).</w:t>
            </w:r>
          </w:p>
          <w:p>
            <w:pPr>
              <w:pStyle w:val="22"/>
              <w:numPr>
                <w:ilvl w:val="0"/>
                <w:numId w:val="4"/>
              </w:numPr>
              <w:tabs>
                <w:tab w:val="clear" w:pos="709"/>
                <w:tab w:val="left" w:pos="259" w:leader="none"/>
              </w:tabs>
              <w:suppressAutoHyphens w:val="true"/>
              <w:overflowPunct w:val="true"/>
              <w:spacing w:lineRule="exact" w:line="269"/>
              <w:ind w:left="120" w:hanging="0"/>
              <w:jc w:val="both"/>
              <w:rPr/>
            </w:pPr>
            <w:r>
              <w:rPr>
                <w:rStyle w:val="115pt"/>
                <w:rFonts w:eastAsia="NSimSun"/>
                <w:sz w:val="24"/>
                <w:szCs w:val="24"/>
              </w:rPr>
              <w:t>ООО «Магистраль» (по согласованию).</w:t>
            </w:r>
          </w:p>
          <w:p>
            <w:pPr>
              <w:pStyle w:val="22"/>
              <w:numPr>
                <w:ilvl w:val="0"/>
                <w:numId w:val="4"/>
              </w:numPr>
              <w:tabs>
                <w:tab w:val="clear" w:pos="709"/>
                <w:tab w:val="left" w:pos="322" w:leader="none"/>
              </w:tabs>
              <w:suppressAutoHyphens w:val="true"/>
              <w:overflowPunct w:val="true"/>
              <w:spacing w:lineRule="exact" w:line="269"/>
              <w:ind w:left="120" w:hanging="0"/>
              <w:jc w:val="both"/>
              <w:rPr/>
            </w:pPr>
            <w:r>
              <w:rPr>
                <w:rStyle w:val="115pt"/>
                <w:rFonts w:eastAsia="NSimSun"/>
                <w:sz w:val="24"/>
                <w:szCs w:val="24"/>
              </w:rPr>
              <w:t>МУП «ЖКХ»» (по согласованию)</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3.2</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Установка и замена дорожных знаков в населенных пунктах и на дорогах общего пользования, нанесение дорожной разметки, установка и содержание искусственных препятствий.</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69"/>
              <w:jc w:val="both"/>
              <w:rPr/>
            </w:pPr>
            <w:r>
              <w:rPr>
                <w:rStyle w:val="115pt"/>
                <w:rFonts w:eastAsia="NSimSun"/>
                <w:sz w:val="24"/>
                <w:szCs w:val="24"/>
              </w:rPr>
              <w:t>Администрации поселковой и сельских поселений района (по согласованию).</w:t>
            </w:r>
          </w:p>
          <w:p>
            <w:pPr>
              <w:pStyle w:val="22"/>
              <w:numPr>
                <w:ilvl w:val="0"/>
                <w:numId w:val="4"/>
              </w:numPr>
              <w:tabs>
                <w:tab w:val="clear" w:pos="709"/>
                <w:tab w:val="left" w:pos="259" w:leader="none"/>
              </w:tabs>
              <w:suppressAutoHyphens w:val="true"/>
              <w:overflowPunct w:val="true"/>
              <w:spacing w:lineRule="exact" w:line="269"/>
              <w:ind w:left="120" w:hanging="0"/>
              <w:jc w:val="both"/>
              <w:rPr/>
            </w:pPr>
            <w:r>
              <w:rPr>
                <w:rStyle w:val="115pt"/>
                <w:rFonts w:eastAsia="NSimSun"/>
                <w:sz w:val="24"/>
                <w:szCs w:val="24"/>
              </w:rPr>
              <w:t>ООО «Магистраль» (по согласованию).</w:t>
            </w:r>
          </w:p>
          <w:p>
            <w:pPr>
              <w:pStyle w:val="22"/>
              <w:tabs>
                <w:tab w:val="clear" w:pos="709"/>
                <w:tab w:val="left" w:pos="322" w:leader="none"/>
              </w:tabs>
              <w:suppressAutoHyphens w:val="true"/>
              <w:overflowPunct w:val="true"/>
              <w:spacing w:lineRule="exact" w:line="274"/>
              <w:ind w:left="120" w:hanging="0"/>
              <w:jc w:val="both"/>
              <w:rPr>
                <w:rFonts w:ascii="Times New Roman" w:hAnsi="Times New Roman" w:cs="Times New Roman"/>
                <w:sz w:val="24"/>
                <w:szCs w:val="24"/>
              </w:rPr>
            </w:pPr>
            <w:r>
              <w:rPr>
                <w:rFonts w:cs="Times New Roman" w:ascii="Times New Roman" w:hAnsi="Times New Roman"/>
                <w:sz w:val="24"/>
                <w:szCs w:val="24"/>
              </w:rPr>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3.3.</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Восстановление уличного освещения в населенных пунктах района с целью недопущения мест концентрации ДТП</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8"/>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jc w:val="both"/>
              <w:rPr/>
            </w:pPr>
            <w:r>
              <w:rPr>
                <w:rStyle w:val="115pt"/>
                <w:rFonts w:eastAsia="NSimSun"/>
                <w:sz w:val="24"/>
                <w:szCs w:val="24"/>
              </w:rPr>
              <w:t>Администрации поселковой и сельских поселений района (по согласованию)</w:t>
            </w:r>
          </w:p>
          <w:p>
            <w:pPr>
              <w:pStyle w:val="22"/>
              <w:numPr>
                <w:ilvl w:val="0"/>
                <w:numId w:val="5"/>
              </w:numPr>
              <w:tabs>
                <w:tab w:val="clear" w:pos="709"/>
                <w:tab w:val="left" w:pos="259" w:leader="none"/>
              </w:tabs>
              <w:suppressAutoHyphens w:val="true"/>
              <w:overflowPunct w:val="true"/>
              <w:spacing w:lineRule="exact" w:line="274"/>
              <w:ind w:left="120" w:hanging="0"/>
              <w:jc w:val="both"/>
              <w:rPr/>
            </w:pPr>
            <w:r>
              <w:rPr>
                <w:rStyle w:val="115pt"/>
                <w:rFonts w:eastAsia="NSimSun"/>
                <w:sz w:val="24"/>
                <w:szCs w:val="24"/>
              </w:rPr>
              <w:t>ООО «Магистраль» (по согласованию).</w:t>
            </w:r>
          </w:p>
          <w:p>
            <w:pPr>
              <w:pStyle w:val="22"/>
              <w:tabs>
                <w:tab w:val="clear" w:pos="709"/>
                <w:tab w:val="left" w:pos="322" w:leader="none"/>
              </w:tabs>
              <w:suppressAutoHyphens w:val="true"/>
              <w:overflowPunct w:val="true"/>
              <w:spacing w:lineRule="exact" w:line="274"/>
              <w:ind w:left="120" w:hanging="0"/>
              <w:jc w:val="both"/>
              <w:rPr>
                <w:rFonts w:ascii="Times New Roman" w:hAnsi="Times New Roman" w:cs="Times New Roman"/>
                <w:sz w:val="24"/>
                <w:szCs w:val="24"/>
              </w:rPr>
            </w:pPr>
            <w:r>
              <w:rPr>
                <w:rFonts w:cs="Times New Roman" w:ascii="Times New Roman" w:hAnsi="Times New Roman"/>
                <w:sz w:val="24"/>
                <w:szCs w:val="24"/>
              </w:rPr>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3.4.</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Оснащение участков улично-дорожной сети населенных пунктов пешеходными ограждениями, в том числе в зоне пешеходных переходов</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4"/>
              <w:jc w:val="both"/>
              <w:rPr/>
            </w:pPr>
            <w:r>
              <w:rPr>
                <w:rStyle w:val="115pt"/>
                <w:rFonts w:eastAsia="NSimSun"/>
                <w:sz w:val="24"/>
                <w:szCs w:val="24"/>
              </w:rPr>
              <w:t>Администрации поселковой и сельских поселений района (по согласованию)</w:t>
            </w:r>
          </w:p>
          <w:p>
            <w:pPr>
              <w:pStyle w:val="22"/>
              <w:numPr>
                <w:ilvl w:val="0"/>
                <w:numId w:val="6"/>
              </w:numPr>
              <w:tabs>
                <w:tab w:val="clear" w:pos="709"/>
                <w:tab w:val="left" w:pos="264" w:leader="none"/>
              </w:tabs>
              <w:suppressAutoHyphens w:val="true"/>
              <w:overflowPunct w:val="true"/>
              <w:spacing w:lineRule="exact" w:line="274"/>
              <w:ind w:left="120" w:hanging="0"/>
              <w:jc w:val="both"/>
              <w:rPr/>
            </w:pPr>
            <w:r>
              <w:rPr>
                <w:rStyle w:val="115pt"/>
                <w:rFonts w:eastAsia="NSimSun"/>
                <w:sz w:val="24"/>
                <w:szCs w:val="24"/>
              </w:rPr>
              <w:t>ООО «Магистраль» (по согласованию).</w:t>
            </w:r>
          </w:p>
          <w:p>
            <w:pPr>
              <w:pStyle w:val="22"/>
              <w:tabs>
                <w:tab w:val="clear" w:pos="709"/>
                <w:tab w:val="left" w:pos="322" w:leader="none"/>
              </w:tabs>
              <w:suppressAutoHyphens w:val="true"/>
              <w:overflowPunct w:val="true"/>
              <w:spacing w:lineRule="exact" w:line="274"/>
              <w:ind w:left="120" w:hanging="0"/>
              <w:jc w:val="both"/>
              <w:rPr>
                <w:rFonts w:ascii="Times New Roman" w:hAnsi="Times New Roman" w:cs="Times New Roman"/>
                <w:sz w:val="24"/>
                <w:szCs w:val="24"/>
              </w:rPr>
            </w:pPr>
            <w:r>
              <w:rPr>
                <w:rFonts w:cs="Times New Roman" w:ascii="Times New Roman" w:hAnsi="Times New Roman"/>
                <w:sz w:val="24"/>
                <w:szCs w:val="24"/>
              </w:rPr>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3.5.</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Проведение ежегодного обследования улично-дорожной сети района для определения первоочередных работ по восстановлению дорожного полотна и объектов дорожно-транспортной инфраструктуры</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8"/>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69"/>
              <w:jc w:val="both"/>
              <w:rPr/>
            </w:pPr>
            <w:r>
              <w:rPr>
                <w:rStyle w:val="115pt"/>
                <w:rFonts w:eastAsia="NSimSun"/>
                <w:sz w:val="24"/>
                <w:szCs w:val="24"/>
              </w:rPr>
              <w:t>Администрации поселковой и сельских поселений района (по согласованию).</w:t>
            </w:r>
          </w:p>
          <w:p>
            <w:pPr>
              <w:pStyle w:val="22"/>
              <w:numPr>
                <w:ilvl w:val="0"/>
                <w:numId w:val="4"/>
              </w:numPr>
              <w:tabs>
                <w:tab w:val="clear" w:pos="709"/>
                <w:tab w:val="left" w:pos="259" w:leader="none"/>
              </w:tabs>
              <w:suppressAutoHyphens w:val="true"/>
              <w:overflowPunct w:val="true"/>
              <w:spacing w:lineRule="exact" w:line="269"/>
              <w:ind w:left="120" w:hanging="0"/>
              <w:jc w:val="both"/>
              <w:rPr/>
            </w:pPr>
            <w:r>
              <w:rPr>
                <w:rStyle w:val="115pt"/>
                <w:rFonts w:eastAsia="NSimSun"/>
                <w:sz w:val="24"/>
                <w:szCs w:val="24"/>
              </w:rPr>
              <w:t>ООО «Магистраль» (по согласованию).</w:t>
            </w:r>
          </w:p>
          <w:p>
            <w:pPr>
              <w:pStyle w:val="22"/>
              <w:numPr>
                <w:ilvl w:val="0"/>
                <w:numId w:val="2"/>
              </w:numPr>
              <w:tabs>
                <w:tab w:val="clear" w:pos="709"/>
                <w:tab w:val="left" w:pos="317" w:leader="none"/>
              </w:tabs>
              <w:suppressAutoHyphens w:val="true"/>
              <w:overflowPunct w:val="true"/>
              <w:spacing w:lineRule="exact" w:line="274"/>
              <w:ind w:left="120" w:hanging="0"/>
              <w:jc w:val="both"/>
              <w:rPr/>
            </w:pPr>
            <w:r>
              <w:rPr>
                <w:rStyle w:val="115pt"/>
                <w:rFonts w:eastAsia="NSimSun"/>
                <w:sz w:val="24"/>
                <w:szCs w:val="24"/>
              </w:rPr>
              <w:t>МУП «ЖКХ»» (по согласованию)</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3.6</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Проведение ежегодного обследования школьных маршрутов при подготовке образовательных учреждений к новому учебному году. Проведение ежегодного обследования регулярных муниципальных маршрутов</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Администрация района; Управление образования и молодежной политики администрации Шарангского муниципального района; ОГИБДД МО МВД РОССИИ «Уренский» (по согласованию)</w:t>
            </w:r>
          </w:p>
          <w:p>
            <w:pPr>
              <w:pStyle w:val="22"/>
              <w:suppressAutoHyphens w:val="true"/>
              <w:spacing w:lineRule="exact" w:line="269"/>
              <w:ind w:left="120" w:hanging="0"/>
              <w:jc w:val="both"/>
              <w:rPr/>
            </w:pPr>
            <w:r>
              <w:rPr>
                <w:rStyle w:val="115pt"/>
                <w:rFonts w:eastAsia="NSimSun"/>
                <w:sz w:val="24"/>
                <w:szCs w:val="24"/>
              </w:rPr>
              <w:t>ООО «Магистраль» (по согласованию)</w:t>
            </w:r>
          </w:p>
        </w:tc>
      </w:tr>
      <w:tr>
        <w:trPr/>
        <w:tc>
          <w:tcPr>
            <w:tcW w:w="15510" w:type="dxa"/>
            <w:gridSpan w:val="4"/>
            <w:tcBorders>
              <w:top w:val="single" w:sz="4" w:space="0" w:color="000000"/>
              <w:left w:val="single" w:sz="4" w:space="0" w:color="000000"/>
              <w:bottom w:val="single" w:sz="4" w:space="0" w:color="000000"/>
              <w:right w:val="single" w:sz="4" w:space="0" w:color="000000"/>
            </w:tcBorders>
            <w:shd w:fill="auto" w:val="clear"/>
          </w:tcPr>
          <w:p>
            <w:pPr>
              <w:pStyle w:val="Normal"/>
              <w:suppressAutoHyphens w:val="true"/>
              <w:jc w:val="center"/>
              <w:rPr/>
            </w:pPr>
            <w:r>
              <w:rPr>
                <w:rStyle w:val="115pt1"/>
                <w:sz w:val="24"/>
                <w:szCs w:val="24"/>
              </w:rPr>
              <w:t>4.Организация мероприятий по повышению квалификации по вопросам безопасности дорожного движения</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4.1.</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Проведение квалификационных мероприятий с педагогическим составом по обучению проведения занятий с детьми по Правилам дорожного движения</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ОГИБДД МО МВД РОССИИ «Уренский» (по согласованию) ;Управление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4.2.</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Проведение семинаров и совещаний по обмену опытом работы по профилактике детского дорожно-транспортного травматизма</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30"/>
              <w:ind w:left="120" w:hanging="0"/>
              <w:jc w:val="both"/>
              <w:rPr/>
            </w:pPr>
            <w:r>
              <w:rPr>
                <w:rStyle w:val="115pt"/>
                <w:rFonts w:eastAsia="NSimSun"/>
                <w:sz w:val="24"/>
                <w:szCs w:val="24"/>
              </w:rPr>
              <w:t>Управление образования и молодежной политики администрации Шарангского муниципального района</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4.3.</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Проведение профилактической работы по обеспечению безопасности дорожного движения с водителями школьных автобусов</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30"/>
              <w:jc w:val="both"/>
              <w:rPr/>
            </w:pPr>
            <w:r>
              <w:rPr>
                <w:rStyle w:val="115pt"/>
                <w:rFonts w:eastAsia="NSimSun"/>
                <w:sz w:val="24"/>
                <w:szCs w:val="24"/>
              </w:rPr>
              <w:t>постоянно</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30"/>
              <w:ind w:left="120" w:hanging="0"/>
              <w:jc w:val="both"/>
              <w:rPr/>
            </w:pPr>
            <w:r>
              <w:rPr>
                <w:rStyle w:val="115pt"/>
                <w:rFonts w:eastAsia="NSimSun"/>
                <w:sz w:val="24"/>
                <w:szCs w:val="24"/>
              </w:rPr>
              <w:t>ОГИБДД МО МВД РОССИИ «Уренский» (по согласованию)</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4.4.</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Проведение профилактической работы по обеспечению безопасности дорожного движения с водителями автобусов на муниципальных маршрутах</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30"/>
              <w:jc w:val="both"/>
              <w:rPr/>
            </w:pPr>
            <w:r>
              <w:rPr>
                <w:rStyle w:val="115pt"/>
                <w:rFonts w:eastAsia="NSimSun"/>
                <w:sz w:val="24"/>
                <w:szCs w:val="24"/>
              </w:rPr>
              <w:t>постоянно</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8"/>
              <w:ind w:left="120" w:hanging="0"/>
              <w:jc w:val="both"/>
              <w:rPr/>
            </w:pPr>
            <w:r>
              <w:rPr>
                <w:rStyle w:val="115pt"/>
                <w:rFonts w:eastAsia="NSimSun"/>
                <w:sz w:val="24"/>
                <w:szCs w:val="24"/>
              </w:rPr>
              <w:t>Администрация района;</w:t>
            </w:r>
          </w:p>
          <w:p>
            <w:pPr>
              <w:pStyle w:val="22"/>
              <w:suppressAutoHyphens w:val="true"/>
              <w:spacing w:lineRule="exact" w:line="278"/>
              <w:ind w:left="120" w:hanging="0"/>
              <w:jc w:val="both"/>
              <w:rPr/>
            </w:pPr>
            <w:r>
              <w:rPr>
                <w:rStyle w:val="115pt"/>
                <w:rFonts w:eastAsia="NSimSun"/>
                <w:sz w:val="24"/>
                <w:szCs w:val="24"/>
              </w:rPr>
              <w:t>МУП «Шарангское ПАП»» (по согласованию)</w:t>
            </w:r>
          </w:p>
          <w:p>
            <w:pPr>
              <w:pStyle w:val="22"/>
              <w:suppressAutoHyphens w:val="true"/>
              <w:spacing w:lineRule="exact" w:line="278"/>
              <w:ind w:left="120" w:hanging="0"/>
              <w:jc w:val="both"/>
              <w:rPr/>
            </w:pPr>
            <w:r>
              <w:rPr>
                <w:rStyle w:val="115pt"/>
                <w:rFonts w:eastAsia="NSimSun"/>
                <w:sz w:val="24"/>
                <w:szCs w:val="24"/>
              </w:rPr>
              <w:t>ОГИБДД МО МВД РОССИИ «Уренский» (по согласованию)</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4.4.1</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74"/>
              <w:ind w:left="120" w:hanging="0"/>
              <w:jc w:val="both"/>
              <w:rPr/>
            </w:pPr>
            <w:r>
              <w:rPr>
                <w:rStyle w:val="115pt"/>
                <w:rFonts w:eastAsia="NSimSun"/>
                <w:sz w:val="24"/>
                <w:szCs w:val="24"/>
              </w:rPr>
              <w:t>Организация безопасной продажи билетов водителями при посадке пассажиров (при отсутствии кондуктора) во время стоянки</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30"/>
              <w:jc w:val="both"/>
              <w:rPr/>
            </w:pPr>
            <w:r>
              <w:rPr>
                <w:rStyle w:val="115pt"/>
                <w:rFonts w:eastAsia="NSimSun"/>
                <w:sz w:val="24"/>
                <w:szCs w:val="24"/>
              </w:rPr>
              <w:t>постоянно</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30"/>
              <w:ind w:left="120" w:hanging="0"/>
              <w:jc w:val="both"/>
              <w:rPr/>
            </w:pPr>
            <w:r>
              <w:rPr>
                <w:rStyle w:val="115pt"/>
                <w:rFonts w:eastAsia="NSimSun"/>
                <w:sz w:val="24"/>
                <w:szCs w:val="24"/>
              </w:rPr>
              <w:t>МУП «Шарангское ПАП»» (по согласованию)</w:t>
            </w:r>
          </w:p>
        </w:tc>
      </w:tr>
      <w:tr>
        <w:trPr/>
        <w:tc>
          <w:tcPr>
            <w:tcW w:w="855" w:type="dxa"/>
            <w:tcBorders>
              <w:top w:val="single" w:sz="4" w:space="0" w:color="000000"/>
              <w:left w:val="single" w:sz="4" w:space="0" w:color="000000"/>
              <w:bottom w:val="single" w:sz="4" w:space="0" w:color="000000"/>
            </w:tcBorders>
            <w:shd w:fill="auto" w:val="clear"/>
          </w:tcPr>
          <w:p>
            <w:pPr>
              <w:pStyle w:val="Normal"/>
              <w:suppressAutoHyphens w:val="true"/>
              <w:jc w:val="center"/>
              <w:rPr>
                <w:sz w:val="24"/>
                <w:szCs w:val="24"/>
              </w:rPr>
            </w:pPr>
            <w:r>
              <w:rPr>
                <w:sz w:val="24"/>
                <w:szCs w:val="24"/>
              </w:rPr>
              <w:t>4.5</w:t>
            </w:r>
          </w:p>
        </w:tc>
        <w:tc>
          <w:tcPr>
            <w:tcW w:w="7530" w:type="dxa"/>
            <w:tcBorders>
              <w:top w:val="single" w:sz="4" w:space="0" w:color="000000"/>
              <w:left w:val="single" w:sz="4" w:space="0" w:color="000000"/>
              <w:bottom w:val="single" w:sz="4" w:space="0" w:color="000000"/>
            </w:tcBorders>
            <w:shd w:fill="auto" w:val="clear"/>
          </w:tcPr>
          <w:p>
            <w:pPr>
              <w:pStyle w:val="22"/>
              <w:suppressAutoHyphens w:val="true"/>
              <w:spacing w:lineRule="exact" w:line="269"/>
              <w:ind w:left="120" w:hanging="0"/>
              <w:jc w:val="both"/>
              <w:rPr/>
            </w:pPr>
            <w:r>
              <w:rPr>
                <w:rStyle w:val="115pt"/>
                <w:rFonts w:eastAsia="NSimSun"/>
                <w:sz w:val="24"/>
                <w:szCs w:val="24"/>
              </w:rPr>
              <w:t>Обучение сотрудников ГИБДД, водителей приемам оказания первой медицинской помощи</w:t>
            </w:r>
          </w:p>
        </w:tc>
        <w:tc>
          <w:tcPr>
            <w:tcW w:w="2610" w:type="dxa"/>
            <w:tcBorders>
              <w:top w:val="single" w:sz="4" w:space="0" w:color="000000"/>
              <w:left w:val="single" w:sz="4" w:space="0" w:color="000000"/>
              <w:bottom w:val="single" w:sz="4" w:space="0" w:color="000000"/>
            </w:tcBorders>
            <w:shd w:fill="auto" w:val="clear"/>
          </w:tcPr>
          <w:p>
            <w:pPr>
              <w:pStyle w:val="22"/>
              <w:suppressAutoHyphens w:val="true"/>
              <w:spacing w:lineRule="exact" w:line="278"/>
              <w:jc w:val="both"/>
              <w:rPr/>
            </w:pPr>
            <w:r>
              <w:rPr>
                <w:rStyle w:val="115pt"/>
                <w:rFonts w:eastAsia="NSimSun"/>
                <w:sz w:val="24"/>
                <w:szCs w:val="24"/>
              </w:rPr>
              <w:t>в течение 2020-2022 гг.</w:t>
            </w:r>
          </w:p>
        </w:tc>
        <w:tc>
          <w:tcPr>
            <w:tcW w:w="4515" w:type="dxa"/>
            <w:tcBorders>
              <w:top w:val="single" w:sz="4" w:space="0" w:color="000000"/>
              <w:left w:val="single" w:sz="4" w:space="0" w:color="000000"/>
              <w:bottom w:val="single" w:sz="4" w:space="0" w:color="000000"/>
              <w:right w:val="single" w:sz="4" w:space="0" w:color="000000"/>
            </w:tcBorders>
            <w:shd w:fill="auto" w:val="clear"/>
          </w:tcPr>
          <w:p>
            <w:pPr>
              <w:pStyle w:val="22"/>
              <w:suppressAutoHyphens w:val="true"/>
              <w:spacing w:lineRule="exact" w:line="278"/>
              <w:ind w:left="120" w:hanging="0"/>
              <w:jc w:val="both"/>
              <w:rPr/>
            </w:pPr>
            <w:r>
              <w:rPr>
                <w:rStyle w:val="115pt"/>
                <w:rFonts w:eastAsia="NSimSun"/>
                <w:sz w:val="24"/>
                <w:szCs w:val="24"/>
              </w:rPr>
              <w:t>ГБУЗ НО «Шарангская ЦРБ» (по согласованию)</w:t>
            </w:r>
          </w:p>
        </w:tc>
      </w:tr>
    </w:tbl>
    <w:p>
      <w:pPr>
        <w:pStyle w:val="Normal"/>
        <w:suppressAutoHyphens w:val="true"/>
        <w:jc w:val="center"/>
        <w:rPr>
          <w:sz w:val="24"/>
          <w:szCs w:val="24"/>
        </w:rPr>
      </w:pPr>
      <w:r>
        <w:rPr>
          <w:sz w:val="24"/>
          <w:szCs w:val="24"/>
        </w:rPr>
      </w:r>
    </w:p>
    <w:sectPr>
      <w:headerReference w:type="default" r:id="rId5"/>
      <w:type w:val="nextPage"/>
      <w:pgSz w:orient="landscape" w:w="16838" w:h="11906"/>
      <w:pgMar w:left="600" w:right="653" w:header="1134" w:top="1648" w:footer="0" w:bottom="512"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Liberation Serif">
    <w:altName w:val="Times New Roman"/>
    <w:charset w:val="00"/>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pPr>
    <w:r>
      <w:rPr/>
      <w:fldChar w:fldCharType="begin"/>
    </w:r>
    <w:r>
      <w:rPr/>
      <w:instrText> PAGE </w:instrText>
    </w:r>
    <w:r>
      <w:rPr/>
      <w:fldChar w:fldCharType="separate"/>
    </w:r>
    <w:r>
      <w:rPr/>
      <w:t>2</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pPr>
    <w:r>
      <w:rPr/>
      <w:fldChar w:fldCharType="begin"/>
    </w:r>
    <w:r>
      <w:rPr/>
      <w:instrText> PAGE </w:instrText>
    </w:r>
    <w:r>
      <w:rPr/>
      <w:fldChar w:fldCharType="separate"/>
    </w:r>
    <w:r>
      <w:rPr/>
      <w:t>7</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tabs>
          <w:tab w:val="num" w:pos="720"/>
        </w:tabs>
        <w:ind w:left="720" w:hanging="360"/>
      </w:pPr>
    </w:lvl>
    <w:lvl w:ilvl="1">
      <w:start w:val="1"/>
      <w:numFmt w:val="none"/>
      <w:suff w:val="nothing"/>
      <w:lvlText w:val="."/>
      <w:lvlJc w:val="left"/>
      <w:pPr>
        <w:tabs>
          <w:tab w:val="num" w:pos="1080"/>
        </w:tabs>
        <w:ind w:left="1080" w:hanging="360"/>
      </w:pPr>
    </w:lvl>
    <w:lvl w:ilvl="2">
      <w:start w:val="1"/>
      <w:numFmt w:val="none"/>
      <w:suff w:val="nothing"/>
      <w:lvlText w:val="."/>
      <w:lvlJc w:val="left"/>
      <w:pPr>
        <w:tabs>
          <w:tab w:val="num" w:pos="1440"/>
        </w:tabs>
        <w:ind w:left="1440" w:hanging="360"/>
      </w:pPr>
    </w:lvl>
    <w:lvl w:ilvl="3">
      <w:start w:val="1"/>
      <w:numFmt w:val="none"/>
      <w:suff w:val="nothing"/>
      <w:lvlText w:val="."/>
      <w:lvlJc w:val="left"/>
      <w:pPr>
        <w:tabs>
          <w:tab w:val="num" w:pos="1800"/>
        </w:tabs>
        <w:ind w:left="1800" w:hanging="360"/>
      </w:pPr>
    </w:lvl>
    <w:lvl w:ilvl="4">
      <w:start w:val="1"/>
      <w:numFmt w:val="none"/>
      <w:suff w:val="nothing"/>
      <w:lvlText w:val="."/>
      <w:lvlJc w:val="left"/>
      <w:pPr>
        <w:tabs>
          <w:tab w:val="num" w:pos="2160"/>
        </w:tabs>
        <w:ind w:left="2160" w:hanging="360"/>
      </w:pPr>
    </w:lvl>
    <w:lvl w:ilvl="5">
      <w:start w:val="1"/>
      <w:numFmt w:val="none"/>
      <w:suff w:val="nothing"/>
      <w:lvlText w:val="."/>
      <w:lvlJc w:val="left"/>
      <w:pPr>
        <w:tabs>
          <w:tab w:val="num" w:pos="2520"/>
        </w:tabs>
        <w:ind w:left="2520" w:hanging="360"/>
      </w:pPr>
    </w:lvl>
    <w:lvl w:ilvl="6">
      <w:start w:val="1"/>
      <w:numFmt w:val="none"/>
      <w:suff w:val="nothing"/>
      <w:lvlText w:val="."/>
      <w:lvlJc w:val="left"/>
      <w:pPr>
        <w:tabs>
          <w:tab w:val="num" w:pos="2880"/>
        </w:tabs>
        <w:ind w:left="2880" w:hanging="360"/>
      </w:pPr>
    </w:lvl>
    <w:lvl w:ilvl="7">
      <w:start w:val="1"/>
      <w:numFmt w:val="none"/>
      <w:suff w:val="nothing"/>
      <w:lvlText w:val="."/>
      <w:lvlJc w:val="left"/>
      <w:pPr>
        <w:tabs>
          <w:tab w:val="num" w:pos="3240"/>
        </w:tabs>
        <w:ind w:left="3240" w:hanging="360"/>
      </w:pPr>
    </w:lvl>
    <w:lvl w:ilvl="8">
      <w:start w:val="1"/>
      <w:numFmt w:val="none"/>
      <w:suff w:val="nothing"/>
      <w:lvlText w:val="."/>
      <w:lvlJc w:val="left"/>
      <w:pPr>
        <w:tabs>
          <w:tab w:val="num" w:pos="3600"/>
        </w:tabs>
        <w:ind w:left="3600" w:hanging="36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4">
    <w:lvl w:ilvl="0">
      <w:start w:val="1"/>
      <w:numFmt w:val="bullet"/>
      <w:lvlText w:val="-"/>
      <w:lvlJc w:val="left"/>
      <w:pPr>
        <w:ind w:left="0" w:hanging="0"/>
      </w:pPr>
      <w:rPr>
        <w:rFonts w:ascii="Times New Roman" w:hAnsi="Times New Roman" w:cs="Times New Roman" w:hint="default"/>
      </w:rPr>
    </w:lvl>
    <w:lvl w:ilvl="1">
      <w:start w:val="0"/>
      <w:numFmt w:val="decimal"/>
      <w:lvlText w:val="%2"/>
      <w:lvlJc w:val="left"/>
      <w:pPr>
        <w:ind w:left="0" w:hanging="0"/>
      </w:pPr>
      <w:rPr/>
    </w:lvl>
    <w:lvl w:ilvl="2">
      <w:start w:val="0"/>
      <w:numFmt w:val="decimal"/>
      <w:lvlText w:val="%3"/>
      <w:lvlJc w:val="left"/>
      <w:pPr>
        <w:ind w:left="0" w:hanging="0"/>
      </w:pPr>
      <w:rPr/>
    </w:lvl>
    <w:lvl w:ilvl="3">
      <w:start w:val="0"/>
      <w:numFmt w:val="decimal"/>
      <w:lvlText w:val="%4"/>
      <w:lvlJc w:val="left"/>
      <w:pPr>
        <w:ind w:left="0" w:hanging="0"/>
      </w:pPr>
      <w:rPr/>
    </w:lvl>
    <w:lvl w:ilvl="4">
      <w:start w:val="0"/>
      <w:numFmt w:val="decimal"/>
      <w:lvlText w:val="%5"/>
      <w:lvlJc w:val="left"/>
      <w:pPr>
        <w:ind w:left="0" w:hanging="0"/>
      </w:pPr>
      <w:rPr/>
    </w:lvl>
    <w:lvl w:ilvl="5">
      <w:start w:val="0"/>
      <w:numFmt w:val="decimal"/>
      <w:lvlText w:val="%6"/>
      <w:lvlJc w:val="left"/>
      <w:pPr>
        <w:ind w:left="0" w:hanging="0"/>
      </w:pPr>
      <w:rPr/>
    </w:lvl>
    <w:lvl w:ilvl="6">
      <w:start w:val="0"/>
      <w:numFmt w:val="decimal"/>
      <w:lvlText w:val="%7"/>
      <w:lvlJc w:val="left"/>
      <w:pPr>
        <w:ind w:left="0" w:hanging="0"/>
      </w:pPr>
      <w:rPr/>
    </w:lvl>
    <w:lvl w:ilvl="7">
      <w:start w:val="0"/>
      <w:numFmt w:val="decimal"/>
      <w:lvlText w:val="%8"/>
      <w:lvlJc w:val="left"/>
      <w:pPr>
        <w:ind w:left="0" w:hanging="0"/>
      </w:pPr>
      <w:rPr/>
    </w:lvl>
    <w:lvl w:ilvl="8">
      <w:start w:val="0"/>
      <w:numFmt w:val="decimal"/>
      <w:lvlText w:val="%9"/>
      <w:lvlJc w:val="left"/>
      <w:pPr>
        <w:ind w:left="0" w:hanging="0"/>
      </w:pPr>
      <w:rPr/>
    </w:lvl>
  </w:abstractNum>
  <w:abstractNum w:abstractNumId="5">
    <w:lvl w:ilvl="0">
      <w:start w:val="1"/>
      <w:numFmt w:val="bullet"/>
      <w:lvlText w:val="-"/>
      <w:lvlJc w:val="left"/>
      <w:pPr>
        <w:ind w:left="0" w:hanging="0"/>
      </w:pPr>
      <w:rPr>
        <w:rFonts w:ascii="Times New Roman" w:hAnsi="Times New Roman" w:cs="Times New Roman" w:hint="default"/>
      </w:rPr>
    </w:lvl>
    <w:lvl w:ilvl="1">
      <w:start w:val="0"/>
      <w:numFmt w:val="decimal"/>
      <w:lvlText w:val="%2"/>
      <w:lvlJc w:val="left"/>
      <w:pPr>
        <w:ind w:left="0" w:hanging="0"/>
      </w:pPr>
      <w:rPr/>
    </w:lvl>
    <w:lvl w:ilvl="2">
      <w:start w:val="0"/>
      <w:numFmt w:val="decimal"/>
      <w:lvlText w:val="%3"/>
      <w:lvlJc w:val="left"/>
      <w:pPr>
        <w:ind w:left="0" w:hanging="0"/>
      </w:pPr>
      <w:rPr/>
    </w:lvl>
    <w:lvl w:ilvl="3">
      <w:start w:val="0"/>
      <w:numFmt w:val="decimal"/>
      <w:lvlText w:val="%4"/>
      <w:lvlJc w:val="left"/>
      <w:pPr>
        <w:ind w:left="0" w:hanging="0"/>
      </w:pPr>
      <w:rPr/>
    </w:lvl>
    <w:lvl w:ilvl="4">
      <w:start w:val="0"/>
      <w:numFmt w:val="decimal"/>
      <w:lvlText w:val="%5"/>
      <w:lvlJc w:val="left"/>
      <w:pPr>
        <w:ind w:left="0" w:hanging="0"/>
      </w:pPr>
      <w:rPr/>
    </w:lvl>
    <w:lvl w:ilvl="5">
      <w:start w:val="0"/>
      <w:numFmt w:val="decimal"/>
      <w:lvlText w:val="%6"/>
      <w:lvlJc w:val="left"/>
      <w:pPr>
        <w:ind w:left="0" w:hanging="0"/>
      </w:pPr>
      <w:rPr/>
    </w:lvl>
    <w:lvl w:ilvl="6">
      <w:start w:val="0"/>
      <w:numFmt w:val="decimal"/>
      <w:lvlText w:val="%7"/>
      <w:lvlJc w:val="left"/>
      <w:pPr>
        <w:ind w:left="0" w:hanging="0"/>
      </w:pPr>
      <w:rPr/>
    </w:lvl>
    <w:lvl w:ilvl="7">
      <w:start w:val="0"/>
      <w:numFmt w:val="decimal"/>
      <w:lvlText w:val="%8"/>
      <w:lvlJc w:val="left"/>
      <w:pPr>
        <w:ind w:left="0" w:hanging="0"/>
      </w:pPr>
      <w:rPr/>
    </w:lvl>
    <w:lvl w:ilvl="8">
      <w:start w:val="0"/>
      <w:numFmt w:val="decimal"/>
      <w:lvlText w:val="%9"/>
      <w:lvlJc w:val="left"/>
      <w:pPr>
        <w:ind w:left="0" w:hanging="0"/>
      </w:pPr>
      <w:rPr/>
    </w:lvl>
  </w:abstractNum>
  <w:abstractNum w:abstractNumId="6">
    <w:lvl w:ilvl="0">
      <w:start w:val="1"/>
      <w:numFmt w:val="bullet"/>
      <w:lvlText w:val="-"/>
      <w:lvlJc w:val="left"/>
      <w:pPr>
        <w:ind w:left="0" w:hanging="0"/>
      </w:pPr>
      <w:rPr>
        <w:rFonts w:ascii="Times New Roman" w:hAnsi="Times New Roman" w:cs="Times New Roman" w:hint="default"/>
      </w:rPr>
    </w:lvl>
    <w:lvl w:ilvl="1">
      <w:start w:val="0"/>
      <w:numFmt w:val="decimal"/>
      <w:lvlText w:val="%2"/>
      <w:lvlJc w:val="left"/>
      <w:pPr>
        <w:ind w:left="0" w:hanging="0"/>
      </w:pPr>
      <w:rPr/>
    </w:lvl>
    <w:lvl w:ilvl="2">
      <w:start w:val="0"/>
      <w:numFmt w:val="decimal"/>
      <w:lvlText w:val="%3"/>
      <w:lvlJc w:val="left"/>
      <w:pPr>
        <w:ind w:left="0" w:hanging="0"/>
      </w:pPr>
      <w:rPr/>
    </w:lvl>
    <w:lvl w:ilvl="3">
      <w:start w:val="0"/>
      <w:numFmt w:val="decimal"/>
      <w:lvlText w:val="%4"/>
      <w:lvlJc w:val="left"/>
      <w:pPr>
        <w:ind w:left="0" w:hanging="0"/>
      </w:pPr>
      <w:rPr/>
    </w:lvl>
    <w:lvl w:ilvl="4">
      <w:start w:val="0"/>
      <w:numFmt w:val="decimal"/>
      <w:lvlText w:val="%5"/>
      <w:lvlJc w:val="left"/>
      <w:pPr>
        <w:ind w:left="0" w:hanging="0"/>
      </w:pPr>
      <w:rPr/>
    </w:lvl>
    <w:lvl w:ilvl="5">
      <w:start w:val="0"/>
      <w:numFmt w:val="decimal"/>
      <w:lvlText w:val="%6"/>
      <w:lvlJc w:val="left"/>
      <w:pPr>
        <w:ind w:left="0" w:hanging="0"/>
      </w:pPr>
      <w:rPr/>
    </w:lvl>
    <w:lvl w:ilvl="6">
      <w:start w:val="0"/>
      <w:numFmt w:val="decimal"/>
      <w:lvlText w:val="%7"/>
      <w:lvlJc w:val="left"/>
      <w:pPr>
        <w:ind w:left="0" w:hanging="0"/>
      </w:pPr>
      <w:rPr/>
    </w:lvl>
    <w:lvl w:ilvl="7">
      <w:start w:val="0"/>
      <w:numFmt w:val="decimal"/>
      <w:lvlText w:val="%8"/>
      <w:lvlJc w:val="left"/>
      <w:pPr>
        <w:ind w:left="0" w:hanging="0"/>
      </w:pPr>
      <w:rPr/>
    </w:lvl>
    <w:lvl w:ilvl="8">
      <w:start w:val="0"/>
      <w:numFmt w:val="decimal"/>
      <w:lvlText w:val="%9"/>
      <w:lvlJc w:val="left"/>
      <w:pPr>
        <w:ind w:left="0" w:hanging="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Основной шрифт абзаца"/>
    <w:qFormat/>
    <w:rPr/>
  </w:style>
  <w:style w:type="character" w:styleId="21">
    <w:name w:val="Основной текст (2)"/>
    <w:basedOn w:val="Style12"/>
    <w:qFormat/>
    <w:rPr>
      <w:rFonts w:ascii="Times New Roman" w:hAnsi="Times New Roman" w:eastAsia="Times New Roman" w:cs="Times New Roman"/>
      <w:b/>
      <w:bCs/>
      <w:i w:val="false"/>
      <w:iCs w:val="false"/>
      <w:caps w:val="false"/>
      <w:smallCaps w:val="false"/>
      <w:strike w:val="false"/>
      <w:dstrike w:val="false"/>
      <w:color w:val="000000"/>
      <w:spacing w:val="0"/>
      <w:w w:val="100"/>
      <w:position w:val="0"/>
      <w:sz w:val="26"/>
      <w:sz w:val="26"/>
      <w:szCs w:val="26"/>
      <w:u w:val="none"/>
      <w:vertAlign w:val="baseline"/>
      <w:lang w:val="ru-RU" w:bidi="ru-RU"/>
    </w:rPr>
  </w:style>
  <w:style w:type="character" w:styleId="Style13">
    <w:name w:val="Основной текст_"/>
    <w:basedOn w:val="Style12"/>
    <w:qFormat/>
    <w:rPr>
      <w:rFonts w:cs="Calibri"/>
      <w:sz w:val="22"/>
      <w:szCs w:val="22"/>
      <w:shd w:fill="FFFFFF" w:val="clear"/>
    </w:rPr>
  </w:style>
  <w:style w:type="character" w:styleId="11">
    <w:name w:val="Основной текст1"/>
    <w:basedOn w:val="Style13"/>
    <w:qFormat/>
    <w:rPr>
      <w:color w:val="000000"/>
      <w:spacing w:val="0"/>
      <w:w w:val="100"/>
      <w:position w:val="0"/>
      <w:sz w:val="22"/>
      <w:sz w:val="22"/>
      <w:vertAlign w:val="baseline"/>
      <w:lang w:val="ru-RU" w:bidi="ru-RU"/>
    </w:rPr>
  </w:style>
  <w:style w:type="character" w:styleId="115pt">
    <w:name w:val="Основной текст + 11;5 pt"/>
    <w:basedOn w:val="Style13"/>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lang w:val="ru-RU" w:bidi="ru-RU"/>
    </w:rPr>
  </w:style>
  <w:style w:type="character" w:styleId="115pt1">
    <w:name w:val="Основной текст + 11;5 pt;Полужирный"/>
    <w:basedOn w:val="Style13"/>
    <w:qFormat/>
    <w:rPr>
      <w:rFonts w:ascii="Times New Roman" w:hAnsi="Times New Roman" w:eastAsia="Times New Roman" w:cs="Times New Roman"/>
      <w:b/>
      <w:bCs/>
      <w:i w:val="false"/>
      <w:iCs w:val="false"/>
      <w:caps w:val="false"/>
      <w:smallCaps w:val="false"/>
      <w:strike w:val="false"/>
      <w:dstrike w:val="false"/>
      <w:color w:val="000000"/>
      <w:spacing w:val="0"/>
      <w:w w:val="100"/>
      <w:position w:val="0"/>
      <w:sz w:val="23"/>
      <w:sz w:val="23"/>
      <w:szCs w:val="23"/>
      <w:u w:val="none"/>
      <w:vertAlign w:val="baseline"/>
      <w:lang w:val="ru-RU" w:bidi="ru-RU"/>
    </w:rPr>
  </w:style>
  <w:style w:type="character" w:styleId="115pt2">
    <w:name w:val="Основной текст + 11;5 pt;Малые прописные"/>
    <w:basedOn w:val="Style13"/>
    <w:qFormat/>
    <w:rPr>
      <w:rFonts w:ascii="Times New Roman" w:hAnsi="Times New Roman" w:eastAsia="Times New Roman" w:cs="Times New Roman"/>
      <w:b w:val="false"/>
      <w:bCs w:val="false"/>
      <w:i w:val="false"/>
      <w:iCs w:val="false"/>
      <w:smallCaps/>
      <w:strike w:val="false"/>
      <w:dstrike w:val="false"/>
      <w:color w:val="000000"/>
      <w:spacing w:val="0"/>
      <w:w w:val="100"/>
      <w:position w:val="0"/>
      <w:sz w:val="23"/>
      <w:sz w:val="23"/>
      <w:szCs w:val="23"/>
      <w:u w:val="none"/>
      <w:vertAlign w:val="baseline"/>
      <w:lang w:val="ru-RU" w:bidi="ru-RU"/>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paragraph" w:styleId="Style14" w:customStyle="1">
    <w:name w:val="Заголовок"/>
    <w:basedOn w:val="Normal"/>
    <w:next w:val="Style15"/>
    <w:qFormat/>
    <w:rsid w:val="0055234d"/>
    <w:pPr>
      <w:keepNext w:val="true"/>
      <w:spacing w:before="240" w:after="120"/>
    </w:pPr>
    <w:rPr>
      <w:rFonts w:ascii="Liberation Sans;Arial" w:hAnsi="Liberation Sans;Arial" w:eastAsia="Microsoft YaHei" w:cs="Mangal"/>
      <w:sz w:val="28"/>
      <w:szCs w:val="28"/>
    </w:rPr>
  </w:style>
  <w:style w:type="paragraph" w:styleId="Style15">
    <w:name w:val="Body Text"/>
    <w:basedOn w:val="Normal"/>
    <w:rsid w:val="0055234d"/>
    <w:pPr>
      <w:spacing w:lineRule="auto" w:line="360"/>
      <w:jc w:val="center"/>
    </w:pPr>
    <w:rPr>
      <w:rFonts w:ascii="Arial" w:hAnsi="Arial" w:cs="Arial"/>
      <w:b/>
      <w:sz w:val="28"/>
    </w:rPr>
  </w:style>
  <w:style w:type="paragraph" w:styleId="Style16">
    <w:name w:val="List"/>
    <w:basedOn w:val="Style15"/>
    <w:rsid w:val="0055234d"/>
    <w:pPr/>
    <w:rPr>
      <w:rFonts w:cs="Mangal"/>
    </w:rPr>
  </w:style>
  <w:style w:type="paragraph" w:styleId="Style17" w:customStyle="1">
    <w:name w:val="Caption"/>
    <w:basedOn w:val="Normal"/>
    <w:qFormat/>
    <w:rsid w:val="0055234d"/>
    <w:pPr>
      <w:suppressLineNumbers/>
      <w:spacing w:before="120" w:after="120"/>
    </w:pPr>
    <w:rPr>
      <w:rFonts w:cs="Mangal"/>
      <w:i/>
      <w:iCs/>
      <w:sz w:val="24"/>
      <w:szCs w:val="24"/>
    </w:rPr>
  </w:style>
  <w:style w:type="paragraph" w:styleId="Style18">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9">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20">
    <w:name w:val="Верхний и нижний колонтитулы"/>
    <w:basedOn w:val="Normal"/>
    <w:qFormat/>
    <w:pPr/>
    <w:rPr/>
  </w:style>
  <w:style w:type="paragraph" w:styleId="Style21"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2"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tru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3"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4"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22">
    <w:name w:val="Основной текст2"/>
    <w:basedOn w:val="Normal"/>
    <w:qFormat/>
    <w:pPr>
      <w:widowControl w:val="false"/>
      <w:shd w:fill="FFFFFF" w:val="clear"/>
      <w:suppressAutoHyphens w:val="false"/>
    </w:pPr>
    <w:rPr>
      <w:rFonts w:ascii="Liberation Serif;Times New Roma;Times New Roman" w:hAnsi="Liberation Serif;Times New Roma;Times New Roman" w:eastAsia="NSimSun" w:cs="Calibri"/>
      <w:color w:val="000000"/>
      <w:kern w:val="2"/>
      <w:sz w:val="22"/>
      <w:szCs w:val="22"/>
      <w:lang w:bidi="hi-I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numbering" w:styleId="WW8Num3">
    <w:name w:val="WW8Num3"/>
    <w:qFormat/>
  </w:style>
  <w:style w:type="numbering" w:styleId="WW8Num8">
    <w:name w:val="WW8Num8"/>
    <w:qFormat/>
  </w:style>
  <w:style w:type="numbering" w:styleId="WW8Num5">
    <w:name w:val="WW8Num5"/>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Application>LibreOffice/6.3.4.2$Windows_X86_64 LibreOffice_project/60da17e045e08f1793c57c00ba83cdfce946d0aa</Application>
  <Pages>7</Pages>
  <Words>1416</Words>
  <Characters>10958</Characters>
  <CharactersWithSpaces>12183</CharactersWithSpaces>
  <Paragraphs>189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2020-02-06T14:19:35Z</cp:lastPrinted>
  <dcterms:modified xsi:type="dcterms:W3CDTF">2020-02-06T14:20:05Z</dcterms:modified>
  <cp:revision>77</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