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30.11.2020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482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64" w:right="964" w:hanging="0"/>
        <w:jc w:val="center"/>
        <w:rPr/>
      </w:pPr>
      <w:r>
        <w:rPr>
          <w:b/>
          <w:sz w:val="28"/>
          <w:szCs w:val="28"/>
          <w:lang w:eastAsia="ru-RU"/>
        </w:rPr>
        <w:t>Об утверждении муниципальной программы «Обеспечение защиты прав потребителей в Шарангском муниципальном районе Нижегородской области на 2021-2023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37"/>
        <w:jc w:val="both"/>
        <w:rPr/>
      </w:pPr>
      <w:r>
        <w:rPr>
          <w:sz w:val="28"/>
          <w:szCs w:val="28"/>
        </w:rPr>
        <w:t xml:space="preserve">В целях повышения эффективности защиты прав потребителей на территории </w:t>
      </w:r>
      <w:bookmarkStart w:id="0" w:name="_GoBack"/>
      <w:bookmarkEnd w:id="0"/>
      <w:r>
        <w:rPr>
          <w:sz w:val="28"/>
          <w:szCs w:val="28"/>
        </w:rPr>
        <w:t xml:space="preserve">Шарангского муниципального района и в соответствии со ст. 44 Закона Российской Федерации от 7 февраля 1992 г. N 2300-1 «О защите прав потребителей», администрация Шарангского муниципального района 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37"/>
        <w:jc w:val="both"/>
        <w:rPr/>
      </w:pPr>
      <w:r>
        <w:rPr>
          <w:sz w:val="28"/>
          <w:szCs w:val="28"/>
        </w:rPr>
        <w:t>1. Утвердить муниципальную программу «Обеспечение защиты прав потребителей в Шарангском муниципальном районе Нижегородской области на 2021-2023 годы», согласно приложению к настоящему постановлению.</w:t>
      </w:r>
    </w:p>
    <w:p>
      <w:pPr>
        <w:pStyle w:val="HTMLPreformatted"/>
        <w:tabs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2. Разместить настоящее постановление на официальном сайте администрации Шарангского муниципального района Нижегородской области в информационно – телекоммуникационной сети «Интернет». </w:t>
      </w:r>
    </w:p>
    <w:p>
      <w:pPr>
        <w:pStyle w:val="HTMLPreformatted"/>
        <w:spacing w:lineRule="auto" w:line="360"/>
        <w:ind w:firstLine="73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 Настоящее постановление вступает в силу с 1 января 2021 года.</w:t>
      </w:r>
    </w:p>
    <w:p>
      <w:pPr>
        <w:pStyle w:val="Normal"/>
        <w:spacing w:lineRule="auto" w:line="360"/>
        <w:ind w:firstLine="737"/>
        <w:jc w:val="both"/>
        <w:rPr>
          <w:rFonts w:eastAsia="Calibri"/>
          <w:sz w:val="28"/>
          <w:szCs w:val="28"/>
          <w:shd w:fill="FFFFFF" w:val="clear"/>
        </w:rPr>
      </w:pPr>
      <w:r>
        <w:rPr>
          <w:rFonts w:eastAsia="Calibri"/>
          <w:sz w:val="28"/>
          <w:szCs w:val="28"/>
          <w:shd w:fill="FFFFFF" w:val="clear"/>
        </w:rPr>
        <w:t xml:space="preserve">4. Контроль за исполнением настоящего постановления </w:t>
      </w:r>
      <w:r>
        <w:rPr>
          <w:rFonts w:eastAsia="Calibri" w:cs="Times New Roman"/>
          <w:color w:val="00000A"/>
          <w:kern w:val="0"/>
          <w:sz w:val="28"/>
          <w:szCs w:val="28"/>
          <w:shd w:fill="FFFFFF" w:val="clear"/>
          <w:lang w:bidi="ar-SA"/>
        </w:rPr>
        <w:t>возложить на заместителя главы администрации, заведующую отделом экономики и имущественных отношений Т.В. Новоселову</w:t>
      </w:r>
      <w:r>
        <w:rPr>
          <w:rFonts w:eastAsia="Calibri"/>
          <w:sz w:val="28"/>
          <w:szCs w:val="28"/>
          <w:shd w:fill="FFFFFF" w:val="clear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435" w:top="492" w:footer="0" w:bottom="87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>Д.О.Ожиганов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30.11.2020 г. № 482</w:t>
      </w:r>
    </w:p>
    <w:p>
      <w:pPr>
        <w:pStyle w:val="Style23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20" w:right="964" w:hanging="0"/>
        <w:jc w:val="center"/>
        <w:rPr/>
      </w:pPr>
      <w:r>
        <w:rPr>
          <w:b/>
          <w:sz w:val="24"/>
          <w:szCs w:val="24"/>
          <w:lang w:eastAsia="ru-RU"/>
        </w:rPr>
        <w:t>Муниципальная программа</w:t>
      </w:r>
    </w:p>
    <w:p>
      <w:pPr>
        <w:pStyle w:val="Normal"/>
        <w:ind w:left="1020" w:right="964" w:hanging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«Обеспечение защиты прав потребителей в Шарангском муниципальном районе Нижегородской области на 2021-2023 годы» </w:t>
      </w:r>
    </w:p>
    <w:p>
      <w:pPr>
        <w:pStyle w:val="Style23"/>
        <w:jc w:val="both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Style23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Паспорт государственной программы 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>"Обеспечение защиты прав потребителей в Шарангском муниципальном районе Нижегородской области на 2021-2023 годы"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val="04a0"/>
      </w:tblPr>
      <w:tblGrid>
        <w:gridCol w:w="716"/>
        <w:gridCol w:w="1217"/>
        <w:gridCol w:w="1862"/>
        <w:gridCol w:w="1710"/>
        <w:gridCol w:w="1019"/>
        <w:gridCol w:w="563"/>
        <w:gridCol w:w="502"/>
        <w:gridCol w:w="638"/>
        <w:gridCol w:w="337"/>
        <w:gridCol w:w="1080"/>
      </w:tblGrid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Заказчик-координатор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 Нижегородской области (Отдел экономики и имущественных отношений)</w:t>
            </w:r>
          </w:p>
        </w:tc>
      </w:tr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защиты прав потребителей в Шарангском муниципальном районе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1)повышение уровня правовой грамотности и формирование у населения навыков рационального потребительского поведения;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2)повышение доступности правовой помощи для потребителей;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3)создание эффективной системы оперативного обмена информацией в сфере защиты прав потребителей;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5)систематическая оценка состояния потребительского рынка;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6)обеспечение защиты прав потребителей</w:t>
            </w:r>
          </w:p>
        </w:tc>
      </w:tr>
      <w:tr>
        <w:trPr/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реализуется в один этап</w:t>
            </w:r>
          </w:p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</w:tr>
      <w:tr>
        <w:trPr>
          <w:trHeight w:val="1557" w:hRule="atLeast"/>
        </w:trPr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муниципальной программы за счет всех источников</w:t>
            </w:r>
          </w:p>
        </w:tc>
        <w:tc>
          <w:tcPr>
            <w:tcW w:w="77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муниципальной программы не предусмотрено</w:t>
            </w:r>
          </w:p>
        </w:tc>
      </w:tr>
      <w:tr>
        <w:trPr>
          <w:trHeight w:val="975" w:hRule="atLeast"/>
        </w:trPr>
        <w:tc>
          <w:tcPr>
            <w:tcW w:w="193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ind w:left="-860"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Style23"/>
              <w:widowControl w:val="false"/>
              <w:ind w:left="-860"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руб) по годам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457" w:hRule="atLeast"/>
          <w:cantSplit w:val="true"/>
        </w:trPr>
        <w:tc>
          <w:tcPr>
            <w:tcW w:w="193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ind w:left="-860"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93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96" w:hRule="atLeast"/>
        </w:trPr>
        <w:tc>
          <w:tcPr>
            <w:tcW w:w="193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04" w:hRule="atLeast"/>
        </w:trPr>
        <w:tc>
          <w:tcPr>
            <w:tcW w:w="193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92" w:hRule="atLeast"/>
        </w:trPr>
        <w:tc>
          <w:tcPr>
            <w:tcW w:w="193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93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2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96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цели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консультаций в сфере защиты прав потребителей на 1 тыс. человек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грамотности, в том числе в сети Интернет и на платформе в социальных сетях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правовой и финансовой грамотности населения в сфере защиты прав потребителей (по результатам опросов потребителей)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96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бесплатных консультаций в сфере защиты прав потребителей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грамотности, в том числе в информационно - коммуникационной сети "Интернет" и на платформе в социальных сетях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 печатных информационных материалов для потребителей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распространенных, в т.ч. по e-mail, информационных материалов для хозяйствующих субъектов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телепередач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открытых горячих линий по вопросам защиты прав потребителей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семинаров для хозяйствующих субъектов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опрошенных потребителей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для учащихся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Текстовая часть государственной программы</w:t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3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Характеристика текущего состояния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"Обеспечение защиты прав потребителей в Шарангском муниципальном районе на 2021-2023 годы" (далее - муниципальная программа) направлена на повышение качества жизни населения, путем реализации гражданами потребителями своих потребительских прав, рационального использования полученных доходов для приобретения качественных товаров, работ и услуг.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представляет комплекс мер, направленных на создание условий для эффективной защиты прав потребителей в Шарангском муниципальном районе, снижение социальной напряженности на потребительском рынке товаров и услуг.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Сфера потребительского рынка в Шарангском муниципальном районе достаточно развита, и насчитывает по состоянию на начало 2020 года 93 объекта, обеспеченность населения площадью стационарных торговых объектов (в кв. метрах на 1000 человек) составляет 570,88 кв. метров (при нормативе 487 кв. метров).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Потребительский рынок не может обеспечить гражданам потребителям равные возможности удовлетворения своих потребностей наравне с другими участниками рынка.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Маркетинговые стратегии федеральных торговых сетей, развитие интернет торговли, развитие платных услуг, жилищно-коммунальная реформа, не всегда положительно сказываются на потребительских отношениях граждан. Как показывает практика, не все организации и индивидуальные предприниматели ведут добросовестную предпринимательскую деятельность по отношению к гражданам. Изменения в законодательстве, направленные на ограничение контроля за хозяйствующими субъектами на потребительском рынке, привело к сокращению количества проверок и явилось дополнительным фактором для возникновения имущественных рисков потребителей в результате приобретения некачественных товаров и получения некачественных услуг.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Шарангского муниципального района мероприятия по обеспечению защиты прав и интересов потребителей осуществляется в соответствии с действующим законодательством Российской Федерации по защите прав потребителей.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надзор в области защиты прав потребителей осуществляется Управлением Федеральной службы по надзору в сфере защиты прав по Нижегородской области.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Шарангского муниципального района в пределах своей компетенции обеспечивает оперативную защиту интересов граждан: осуществляются мероприятия по информационному обеспечению потребителей, в том числе консультирование населения по вопросам защиты прав потребителей, размещение информационных материалов в средствах массовой информации, проводится просветительская работа с представителями бизнеса.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на потребительском рынке направления с высоким уровнем нарушения законодательства о защите прав потребителей. Структура обращений граждан, входящих в систему защиты прав потребителей на территории Шарангского муниципального района, крайне разнообразна и отражает состояние потребительского рынка.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поступающих обращений свидетельствует об увеличении потребности граждан в защите их прав. С 2016 года по настоящее время количество таких обращений граждан, поступивших в администрацию Шарангского муниципального района увеличилось на 14,2% (в 2016 году – 19, в 2019 году -27).</w:t>
      </w:r>
    </w:p>
    <w:p>
      <w:pPr>
        <w:pStyle w:val="Normal"/>
        <w:shd w:val="clear" w:color="auto" w:fill="FFFFFF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большая часть консультаций в сфере защиты прав потребителей оказывается по телефону, а именно 71% - в 2016 году, 66% - в 2019 году. При этом на личном приёме в 2019 году было принято 14 человек, что на 5 человек больше чем в 2016 году.</w:t>
      </w:r>
    </w:p>
    <w:p>
      <w:pPr>
        <w:pStyle w:val="Normal"/>
        <w:tabs>
          <w:tab w:val="clear" w:pos="709"/>
          <w:tab w:val="left" w:pos="1301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Динамика обращений граждан по вопросам защиты прав потребителей поступивших в Администрацию Шарангского муниципального района</w:t>
      </w:r>
    </w:p>
    <w:p>
      <w:pPr>
        <w:pStyle w:val="Normal"/>
        <w:tabs>
          <w:tab w:val="clear" w:pos="709"/>
          <w:tab w:val="left" w:pos="1301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4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8"/>
        <w:gridCol w:w="810"/>
        <w:gridCol w:w="1200"/>
        <w:gridCol w:w="870"/>
        <w:gridCol w:w="1036"/>
      </w:tblGrid>
      <w:tr>
        <w:trPr>
          <w:tblHeader w:val="true"/>
          <w:trHeight w:val="225" w:hRule="atLeast"/>
        </w:trPr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Тематика обращений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>
        <w:trPr>
          <w:tblHeader w:val="true"/>
          <w:trHeight w:val="225" w:hRule="atLeast"/>
        </w:trPr>
        <w:tc>
          <w:tcPr>
            <w:tcW w:w="56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alibri"/>
                <w:b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22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Всего обращений на нарушение прав потребителей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розничная торговля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96,30</w:t>
            </w:r>
          </w:p>
        </w:tc>
      </w:tr>
      <w:tr>
        <w:trPr>
          <w:trHeight w:val="22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бытовая техника, электроника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48,15</w:t>
            </w:r>
          </w:p>
        </w:tc>
      </w:tr>
      <w:tr>
        <w:trPr>
          <w:trHeight w:val="27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обувь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29,63</w:t>
            </w:r>
          </w:p>
        </w:tc>
      </w:tr>
      <w:tr>
        <w:trPr>
          <w:trHeight w:val="278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18,52</w:t>
            </w:r>
          </w:p>
        </w:tc>
      </w:tr>
      <w:tr>
        <w:trPr>
          <w:trHeight w:val="22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услуги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3,70</w:t>
            </w:r>
          </w:p>
        </w:tc>
      </w:tr>
      <w:tr>
        <w:trPr>
          <w:trHeight w:val="22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услуги по изготовлению мебели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3,70</w:t>
            </w:r>
          </w:p>
        </w:tc>
      </w:tr>
      <w:tr>
        <w:trPr>
          <w:trHeight w:val="225" w:hRule="atLeast"/>
        </w:trPr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Web"/>
        <w:tabs>
          <w:tab w:val="clear" w:pos="709"/>
          <w:tab w:val="left" w:pos="567" w:leader="none"/>
        </w:tabs>
        <w:spacing w:before="0" w:after="0"/>
        <w:ind w:firstLine="284"/>
        <w:jc w:val="both"/>
        <w:rPr/>
      </w:pPr>
      <w:r>
        <w:rPr/>
      </w:r>
    </w:p>
    <w:p>
      <w:pPr>
        <w:pStyle w:val="NormalWeb"/>
        <w:tabs>
          <w:tab w:val="clear" w:pos="709"/>
          <w:tab w:val="left" w:pos="567" w:leader="none"/>
        </w:tabs>
        <w:spacing w:before="0" w:after="0"/>
        <w:ind w:firstLine="567"/>
        <w:jc w:val="both"/>
        <w:rPr/>
      </w:pPr>
      <w:r>
        <w:rPr/>
        <w:t xml:space="preserve">В структуре обращений по вопросам защиты прав потребителей первое место занимают обращения с жалобами на бытовую технику и электронику, второе место – на обувь, третье место - </w:t>
      </w:r>
      <w:r>
        <w:rPr>
          <w:rFonts w:eastAsia="Calibri"/>
        </w:rPr>
        <w:t>на услуги по изготовлению мебели.</w:t>
      </w:r>
    </w:p>
    <w:p>
      <w:pPr>
        <w:pStyle w:val="NormalWeb"/>
        <w:spacing w:before="0" w:after="0"/>
        <w:ind w:firstLine="567"/>
        <w:jc w:val="both"/>
        <w:rPr/>
      </w:pPr>
      <w:r>
        <w:rPr/>
        <w:t xml:space="preserve">За 2019 год по сравнению с аналогичным периодом 2016 годом снизилось количество обращений с жалобами на </w:t>
      </w:r>
      <w:r>
        <w:rPr>
          <w:rFonts w:eastAsia="Calibri"/>
        </w:rPr>
        <w:t>услуги по изготовлению мебели</w:t>
      </w:r>
      <w:r>
        <w:rPr/>
        <w:t>, возросло - на некачественную обувь и бытовую технику, электронику.</w:t>
      </w:r>
    </w:p>
    <w:p>
      <w:pPr>
        <w:pStyle w:val="NormalWeb"/>
        <w:spacing w:before="0" w:after="0"/>
        <w:ind w:firstLine="567"/>
        <w:jc w:val="both"/>
        <w:rPr/>
      </w:pPr>
      <w:r>
        <w:rPr/>
        <w:t>Количество обращений граждан, поступивших за девять месяцев 2020 года, распределились следующим образом. Большая часть обращений в отношении бытовой техники, электроники, при этом сократились нарушения прав потребителей в сегменте продажи обуви на 30%. Следует отметить рост числа обращений в отношении мебели на 34%.</w:t>
      </w:r>
    </w:p>
    <w:p>
      <w:pPr>
        <w:pStyle w:val="NormalWeb"/>
        <w:spacing w:before="0" w:after="0"/>
        <w:ind w:firstLine="567"/>
        <w:jc w:val="both"/>
        <w:rPr/>
      </w:pPr>
      <w:r>
        <w:rPr/>
        <w:t>Основные причины обращений граждан с жалобами на непродовольственные товары:</w:t>
      </w:r>
    </w:p>
    <w:p>
      <w:pPr>
        <w:pStyle w:val="NormalWeb"/>
        <w:numPr>
          <w:ilvl w:val="0"/>
          <w:numId w:val="3"/>
        </w:numPr>
        <w:spacing w:before="0" w:after="0"/>
        <w:ind w:left="0" w:firstLine="567"/>
        <w:jc w:val="both"/>
        <w:rPr/>
      </w:pPr>
      <w:r>
        <w:rPr/>
        <w:t>ненадлежащее качество товаров;</w:t>
      </w:r>
    </w:p>
    <w:p>
      <w:pPr>
        <w:pStyle w:val="NormalWeb"/>
        <w:numPr>
          <w:ilvl w:val="0"/>
          <w:numId w:val="3"/>
        </w:numPr>
        <w:spacing w:before="0" w:after="0"/>
        <w:ind w:left="0" w:firstLine="567"/>
        <w:jc w:val="both"/>
        <w:rPr/>
      </w:pPr>
      <w:r>
        <w:rPr/>
        <w:t>безосновательный отказ продавцов в выполнении гарантийных обязательств в отношении некачественных товаров, отказ в проведении проверки качества, экспертизы товаров;</w:t>
      </w:r>
    </w:p>
    <w:p>
      <w:pPr>
        <w:pStyle w:val="NormalWeb"/>
        <w:numPr>
          <w:ilvl w:val="0"/>
          <w:numId w:val="3"/>
        </w:numPr>
        <w:spacing w:before="0" w:after="0"/>
        <w:ind w:left="0" w:firstLine="567"/>
        <w:jc w:val="both"/>
        <w:rPr/>
      </w:pPr>
      <w:r>
        <w:rPr/>
        <w:t>нарушение сроков доставки предварительного оплаченного товара;</w:t>
      </w:r>
    </w:p>
    <w:p>
      <w:pPr>
        <w:pStyle w:val="NormalWeb"/>
        <w:numPr>
          <w:ilvl w:val="0"/>
          <w:numId w:val="3"/>
        </w:numPr>
        <w:spacing w:before="0" w:after="0"/>
        <w:ind w:left="0" w:firstLine="567"/>
        <w:jc w:val="both"/>
        <w:rPr/>
      </w:pPr>
      <w:r>
        <w:rPr/>
        <w:t>отказ продавца предоставить на период ремонта некачественного товара товар обладающий аналогичными потребительскими свойствами;</w:t>
      </w:r>
    </w:p>
    <w:p>
      <w:pPr>
        <w:pStyle w:val="NormalWeb"/>
        <w:numPr>
          <w:ilvl w:val="0"/>
          <w:numId w:val="3"/>
        </w:numPr>
        <w:spacing w:before="0" w:after="0"/>
        <w:ind w:left="0" w:firstLine="567"/>
        <w:jc w:val="both"/>
        <w:rPr/>
      </w:pPr>
      <w:r>
        <w:rPr/>
        <w:t>нарушение правил дистанционной продажи товаров: несоблюдение сроков доставки товара, доставка товаров с иными потребительскими свойствами, увеличение стоимости товара в одностороннем порядке продавцом.</w:t>
      </w:r>
    </w:p>
    <w:p>
      <w:pPr>
        <w:pStyle w:val="NormalWeb"/>
        <w:spacing w:before="0" w:after="0"/>
        <w:ind w:firstLine="567"/>
        <w:jc w:val="both"/>
        <w:rPr/>
      </w:pPr>
      <w:r>
        <w:rPr/>
        <w:t>Самые распространенные нарушения в продовольственной торговле это несоответствие цены указанной на ценнике.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Основным направлением в работе по защите прав потребителей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такие методы и формы как,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предпринимателям.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Сложившаяся на территории Шарангского муниципального района ситуация с защитой прав потребителей определяет необходимость перехода на новый уровень защиты прав потребителей, направленный на консолидацию усилий федеральных органов, органов местного самоуправления и общественных организаций потребителей. </w:t>
      </w:r>
    </w:p>
    <w:p>
      <w:pPr>
        <w:pStyle w:val="Normal"/>
        <w:shd w:val="clear" w:color="auto" w:fill="FFFFFF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 направлением 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 </w:t>
      </w:r>
    </w:p>
    <w:p>
      <w:pPr>
        <w:pStyle w:val="Normal"/>
        <w:shd w:val="clear" w:color="auto" w:fill="FFFFFF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мероприятий программы к 2023 году количество консультаций в сфере защиты прав потребителей составит 40 ед., уровень правовой и финансовой грамотности населения в сфере защиты прав потребителей возрастёт до 60%. </w:t>
      </w:r>
    </w:p>
    <w:p>
      <w:pPr>
        <w:pStyle w:val="Normal"/>
        <w:shd w:val="clear" w:color="auto" w:fill="FFFFFF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программы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>
      <w:pPr>
        <w:pStyle w:val="Style2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2.2. Цели, задачи муниципальной программы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 муниципальной программы - развитие системы защиты прав потребителей в Шарангском муниципальном районе,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муниципальной программы: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1)повышение уровня правовой грамотности и формирование у населения навыков рационального потребительского поведения;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2)повышение доступности правовой помощи для потребителей; 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3)создание эффективной системы оперативного обмена информацией в сфере защиты прав потребителей;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5)систематическая оценка состояния потребительского рынка; 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обеспечение защиты прав потребителей.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конечном итоге успешная реализация мероприятий муниципальной программы позволит: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повысить уровень доступности информации о правах потребителя и механизмах их защиты, установленных законодательством Российской Федерации;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повысить правовую грамотность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уменьшить количество нарушений законодательства в сфере потребительского рынка, обеспечить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увеличить количество фактов добровольного удовлетворения законных требований потребителей продавцами (исполнителями).</w:t>
      </w:r>
    </w:p>
    <w:p>
      <w:pPr>
        <w:pStyle w:val="Style2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2.3. Сроки и этапы реализации муниципальной программы 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один этап.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 2021-2023 годы. 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2.4. Перечень основных мероприятий муниципальной программы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защиты прав потребителей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данных мероприятий предусматривается развитие системы защиты прав потребителей. Оперативный обмен информацией между органами и организациями, входящими в систему защиты прав потребителей на территории Шарангского муниципального района, а также обеспечение доступности получения правовой помощи в сфере защиты прав потребителей всеми категориями граждан.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информационное обеспечение потребителей. Просвещение и популяризация вопросов защиты прав потребителей</w:t>
      </w:r>
    </w:p>
    <w:p>
      <w:pPr>
        <w:pStyle w:val="Style23"/>
        <w:tabs>
          <w:tab w:val="left" w:pos="709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данных мероприятий предусматривается проведение работ по обеспечению формирования у граждан, проживающих на территории Шарангского муниципального района, навыков рационального потребительского поведения, а также создание равных возможностей, свободного и бесплатного доступа всех категорий граждан к информационным ресурсам, направленных на защиту прав потребителей.</w:t>
      </w:r>
    </w:p>
    <w:p>
      <w:pPr>
        <w:pStyle w:val="Style23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Профилактика правонарушений в сфере защиты прав потребителей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положительного эффекта запланированы мероприятия не только с потребителями, но и хозяйствующими субъектами, работающими на потребительском рынке товаров, работ и услуг, в том числе посредством распространения информационно-методических материалов, проведения обучающих мероприятий в сфере защиты прав потребителей, а также мероприятий, направленных на стимулирование предоставления безопасных товаров, работ и услуг.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Мониторинг состояния потребительского рынка и системы защиты прав потребителей</w:t>
      </w:r>
    </w:p>
    <w:p>
      <w:pPr>
        <w:pStyle w:val="Style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направлены на оценку ситуации на потребительском рынке товаров, работ и услуг, состояние системы защиты прав потребителей, включая оценку доступности услуг данной системы для населения и эффективности ее работы.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основных мероприятиях Программы представлена в таблице 1.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3"/>
        <w:rPr>
          <w:sz w:val="24"/>
          <w:szCs w:val="24"/>
        </w:rPr>
      </w:pPr>
      <w:bookmarkStart w:id="1" w:name="Par467"/>
      <w:bookmarkStart w:id="2" w:name="Par448"/>
      <w:bookmarkStart w:id="3" w:name="Par434"/>
      <w:bookmarkEnd w:id="1"/>
      <w:bookmarkEnd w:id="2"/>
      <w:bookmarkEnd w:id="3"/>
      <w:r>
        <w:rPr>
          <w:sz w:val="24"/>
          <w:szCs w:val="24"/>
        </w:rPr>
        <w:t>Таблица 1. Перечень основных мероприятий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tbl>
      <w:tblPr>
        <w:tblW w:w="9585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1648"/>
        <w:gridCol w:w="1921"/>
        <w:gridCol w:w="1126"/>
        <w:gridCol w:w="1484"/>
        <w:gridCol w:w="675"/>
        <w:gridCol w:w="677"/>
        <w:gridCol w:w="690"/>
        <w:gridCol w:w="793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(годы)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(по годам) за счет средств местного бюджета (тыс.руб.)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программы: развитие системы защиты прав потребителей в Шарангском муниципальном районе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Обеспечение доступности правовой помощи в сфере защиты прав потребителей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имущественных отношений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имущественных отношений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Профилактика правонарушений в сфере защиты прав потребителей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имущественных отношений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Мониторинг состояния потребительского рынка и системы защиты прав потребителей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имущественных отношений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2.5. Индикаторы достижения цели и непосредственные </w:t>
      </w:r>
    </w:p>
    <w:p>
      <w:pPr>
        <w:pStyle w:val="Style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реализации муниципальной программы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и непосредственные результаты реализации Программы представлены в таблице 2.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Таблица 2. Сведения об индикаторах и непосредственных результатах</w:t>
      </w:r>
    </w:p>
    <w:tbl>
      <w:tblPr>
        <w:tblW w:w="9582" w:type="dxa"/>
        <w:jc w:val="left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5789"/>
        <w:gridCol w:w="960"/>
        <w:gridCol w:w="735"/>
        <w:gridCol w:w="735"/>
        <w:gridCol w:w="792"/>
      </w:tblGrid>
      <w:tr>
        <w:trPr>
          <w:trHeight w:val="1064" w:hRule="atLeast"/>
          <w:cantSplit w:val="true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/непосредственного результата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годам)</w:t>
            </w:r>
          </w:p>
        </w:tc>
      </w:tr>
      <w:tr>
        <w:trPr>
          <w:trHeight w:val="473" w:hRule="atLeast"/>
          <w:cantSplit w:val="true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bookmarkStart w:id="4" w:name="Par1472"/>
            <w:bookmarkStart w:id="5" w:name="Par1426"/>
            <w:bookmarkStart w:id="6" w:name="Par1257"/>
            <w:bookmarkStart w:id="7" w:name="Par1211"/>
            <w:bookmarkStart w:id="8" w:name="Par1133"/>
            <w:bookmarkStart w:id="9" w:name="Par1065"/>
            <w:bookmarkStart w:id="10" w:name="Par976"/>
            <w:bookmarkStart w:id="11" w:name="Par90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консультаций в сфере защиты прав потребителей на 1 тыс. человек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грамотности, в том числе в сети Интернет и на платформе в социальных сетях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правовой и финансовой грамотности населения в сфере защиты прав потребителей (по результатам опросов потребителей)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Непосредственные результаты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бесплатных консультаций в сфере защиты прав потребителей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грамотности, в том числе в информационно - коммуникационной сети "Интернет" и на платформе в социальных сетях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 печатных информационных материалов для потребителей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97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распространенных, в т.ч. по e-mail, информационных материалов для хозяйствующих субъектов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телепередач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открытых горячих линий по вопросам защиты прав потребителей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семинаров для хозяйствующих субъектов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опрошенных потребителей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для учащихся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left="0" w:firstLine="54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Меры правового регулирования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Принятие новых нормативных правовых актов для реализации Программы не планируется.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" w:right="567" w:hanging="0"/>
        <w:jc w:val="center"/>
        <w:outlineLvl w:val="2"/>
        <w:rPr>
          <w:sz w:val="24"/>
          <w:szCs w:val="24"/>
        </w:rPr>
      </w:pPr>
      <w:bookmarkStart w:id="12" w:name="Par1634"/>
      <w:bookmarkStart w:id="13" w:name="Par1511"/>
      <w:bookmarkEnd w:id="12"/>
      <w:bookmarkEnd w:id="13"/>
      <w:r>
        <w:rPr>
          <w:b/>
          <w:bCs/>
          <w:sz w:val="24"/>
          <w:szCs w:val="24"/>
        </w:rPr>
        <w:t>2.7. Участие в реализации муниципальной программы муниципальных унитарных предприятий, хозяйственных обществ с участием Шарангского муниципального района Нижегородской области, общественных, научных и иных организаций, а также внебюджетных фондов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ind w:left="0" w:firstLine="540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Участие в реализации муниципальной программы муниципальных унитарных предприятий, хозяйственных обществ с участием Шарангского муниципального района Нижегородской области, общественных, научных и иных организаций, а также внебюджетных фондов не предусмотрено.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ind w:left="0" w:firstLine="540"/>
        <w:jc w:val="both"/>
        <w:outlineLvl w:val="2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54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2.8. Обоснование объема финансовых ресурсов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муниципальной программы не предусмотрено. 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416" w:leader="none"/>
        </w:tabs>
        <w:jc w:val="center"/>
        <w:rPr>
          <w:sz w:val="24"/>
          <w:szCs w:val="24"/>
        </w:rPr>
      </w:pPr>
      <w:bookmarkStart w:id="14" w:name="Par3762"/>
      <w:bookmarkEnd w:id="14"/>
      <w:r>
        <w:rPr>
          <w:b/>
          <w:sz w:val="24"/>
          <w:szCs w:val="24"/>
        </w:rPr>
        <w:t>2.9. Анализ рисков реализации муниципальной программы</w:t>
      </w:r>
    </w:p>
    <w:p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ar3766"/>
      <w:bookmarkEnd w:id="15"/>
      <w:r>
        <w:rPr>
          <w:rFonts w:ascii="Times New Roman" w:hAnsi="Times New Roman"/>
          <w:b w:val="false"/>
          <w:sz w:val="24"/>
          <w:szCs w:val="24"/>
        </w:rPr>
        <w:t>Правовые риски связаны с изменением федерального и регионального законодательства.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минимизации воздействия данной группы рисков планируется проводить мониторинг планируемых изменений федеральном и региональном законодательстве.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риски связаны с неэффективным управлением реализацией муниципальной программы, что может повлечь за собой потерю управляемости, нарушение ее цели и задач, не достижение плановых значений показателей.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условиями минимизации административных рисков являются: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эффективной системы управления реализацией муниципальной программы;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регулярный мониторинг реализации и своевременная корректировка мероприятий муниципальной программы.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  <w:sz w:val="24"/>
          <w:szCs w:val="24"/>
        </w:rPr>
      </w:pPr>
      <w:bookmarkStart w:id="16" w:name="Par3788"/>
      <w:bookmarkEnd w:id="16"/>
      <w:r>
        <w:rPr>
          <w:b/>
          <w:bCs/>
          <w:sz w:val="24"/>
          <w:szCs w:val="24"/>
        </w:rPr>
        <w:t>3. Подпрограммы муниципальной программы</w:t>
      </w:r>
    </w:p>
    <w:p>
      <w:pPr>
        <w:pStyle w:val="BodyTextIndent3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Принятие подпрограмм в рамках муниципальной программы не предусмотрено.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ae6ca1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ae6ca1"/>
    <w:pPr>
      <w:spacing w:before="0" w:after="120"/>
      <w:ind w:left="283" w:hanging="0"/>
    </w:pPr>
    <w:rPr>
      <w:sz w:val="16"/>
      <w:szCs w:val="16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qFormat/>
    <w:rsid w:val="00ae6ca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 w:customStyle="1">
    <w:name w:val="Нормальный"/>
    <w:qFormat/>
    <w:rsid w:val="00ae6ca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8"/>
      <w:szCs w:val="28"/>
      <w:lang w:val="ru-RU" w:eastAsia="zh-CN" w:bidi="ar-SA"/>
    </w:rPr>
  </w:style>
  <w:style w:type="paragraph" w:styleId="NormalWeb">
    <w:name w:val="Normal (Web)"/>
    <w:basedOn w:val="Normal"/>
    <w:qFormat/>
    <w:rsid w:val="00ae6ca1"/>
    <w:pPr>
      <w:spacing w:before="0" w:after="24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3" w:customStyle="1">
    <w:name w:val="WW8Num3"/>
    <w:qFormat/>
    <w:rsid w:val="00ae6ca1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LibreOffice/7.0.3.1$Windows_X86_64 LibreOffice_project/d7547858d014d4cf69878db179d326fc3483e082</Application>
  <Pages>9</Pages>
  <Words>2505</Words>
  <Characters>18093</Characters>
  <CharactersWithSpaces>20211</CharactersWithSpaces>
  <Paragraphs>415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2020-12-01T09:15:03Z</cp:lastPrinted>
  <dcterms:modified xsi:type="dcterms:W3CDTF">2020-12-01T09:16:53Z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