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361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муниципальную программу «Переселение граждан из аварийного жилищного фонда на территории Шарангского муниципального района Нижегородской области на 2019 - 2023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Шарангского муниципального района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ConsPlusTitle"/>
        <w:widowControl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Внести в муниципальную программу </w:t>
      </w:r>
      <w:r>
        <w:rPr>
          <w:rFonts w:cs="Times New Roman" w:ascii="Times New Roman" w:hAnsi="Times New Roman"/>
          <w:b w:val="false"/>
          <w:sz w:val="28"/>
          <w:szCs w:val="28"/>
        </w:rPr>
        <w:t>«Переселение граждан из аварийного жилищного фонда на территории Шарангского муниципального района Нижегородской области на 2019 - 2023 годы», утвержденную постановлением администрации Шарангского муниципального района от 31.05.2019 года № 306 (далее-Программа), следующие изменения:</w:t>
      </w:r>
    </w:p>
    <w:p>
      <w:pPr>
        <w:pStyle w:val="ConsPlusTitle"/>
        <w:widowControl/>
        <w:spacing w:lineRule="auto" w:line="360"/>
        <w:ind w:lef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 w:val="28"/>
          <w:szCs w:val="28"/>
        </w:rPr>
        <w:t>В Паспорте Программы пункт «Объем и источник финансирования Программы» изложить в следующей редакции:</w:t>
      </w:r>
    </w:p>
    <w:p>
      <w:pPr>
        <w:pStyle w:val="ConsPlusTitle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</w:t>
      </w:r>
    </w:p>
    <w:tbl>
      <w:tblPr>
        <w:tblW w:w="9645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710"/>
        <w:gridCol w:w="1065"/>
        <w:gridCol w:w="975"/>
        <w:gridCol w:w="210"/>
        <w:gridCol w:w="1125"/>
        <w:gridCol w:w="840"/>
        <w:gridCol w:w="45"/>
        <w:gridCol w:w="450"/>
        <w:gridCol w:w="1365"/>
      </w:tblGrid>
      <w:tr>
        <w:trPr/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  <w:p>
            <w:pPr>
              <w:pStyle w:val="Normal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  <w:lang w:eastAsia="ru-RU"/>
              </w:rPr>
              <w:t xml:space="preserve">Общий объем финансирования мероприятий Программы составляет – </w:t>
            </w:r>
            <w:r>
              <w:rPr>
                <w:b/>
                <w:sz w:val="20"/>
                <w:szCs w:val="20"/>
                <w:lang w:eastAsia="ru-RU"/>
              </w:rPr>
              <w:t>21 328 638,40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руб</w:t>
            </w:r>
            <w:r>
              <w:rPr>
                <w:sz w:val="20"/>
                <w:szCs w:val="20"/>
                <w:lang w:eastAsia="ru-RU"/>
              </w:rPr>
              <w:t>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 числе по годам и источникам финансирования (руб.):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4"/>
                <w:szCs w:val="28"/>
                <w:lang w:eastAsia="ru-RU"/>
              </w:rPr>
            </w:pPr>
            <w:r>
              <w:rPr>
                <w:color w:val="FF0000"/>
                <w:sz w:val="24"/>
                <w:szCs w:val="28"/>
                <w:lang w:eastAsia="ru-RU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корпорация – «Фонд содействия реформированию жилищно-коммунального хозяйства» (далее – Фонд)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7 101 038,00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7 357 884,00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5 885 962,00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20 344 884,0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16"/>
                <w:szCs w:val="28"/>
                <w:highlight w:val="yellow"/>
              </w:rPr>
            </w:pPr>
            <w:r>
              <w:rPr>
                <w:b/>
                <w:color w:val="FF0000"/>
                <w:sz w:val="16"/>
                <w:szCs w:val="28"/>
                <w:highlight w:val="yellow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266 405,00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248 112,00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272 486,28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787 003,28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16"/>
                <w:szCs w:val="28"/>
                <w:highlight w:val="yellow"/>
              </w:rPr>
            </w:pPr>
            <w:r>
              <w:rPr>
                <w:b/>
                <w:color w:val="FF0000"/>
                <w:sz w:val="16"/>
                <w:szCs w:val="28"/>
                <w:highlight w:val="yellow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66 602,60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62 026,89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29 800,00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20"/>
                <w:lang w:eastAsia="ru-RU"/>
              </w:rPr>
              <w:t>188 229,49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16"/>
                <w:szCs w:val="28"/>
                <w:highlight w:val="yellow"/>
              </w:rPr>
            </w:pPr>
            <w:r>
              <w:rPr>
                <w:b/>
                <w:color w:val="FF0000"/>
                <w:sz w:val="16"/>
                <w:szCs w:val="28"/>
                <w:highlight w:val="yellow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7 434 045,60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7 668 022,89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29 800,00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6 188 248,28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21 320 116,8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16"/>
                <w:szCs w:val="28"/>
                <w:highlight w:val="yellow"/>
              </w:rPr>
            </w:pPr>
            <w:r>
              <w:rPr>
                <w:b/>
                <w:color w:val="FF0000"/>
                <w:sz w:val="16"/>
                <w:szCs w:val="28"/>
                <w:highlight w:val="yellow"/>
              </w:rPr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1.Финансирование 1 этапа мероприятий Программы составляет - </w:t>
            </w:r>
            <w:r>
              <w:rPr>
                <w:b/>
                <w:color w:val="000000"/>
                <w:sz w:val="20"/>
                <w:szCs w:val="20"/>
              </w:rPr>
              <w:t>7 434 045,60 руб</w:t>
            </w:r>
            <w:r>
              <w:rPr>
                <w:color w:val="000000"/>
                <w:sz w:val="20"/>
                <w:szCs w:val="20"/>
              </w:rPr>
              <w:t>., в том числе по годам и источникам финансирования (руб.):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7 101 038,00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7 101 038,00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266 405,00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266 405,00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66 602,60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66 602,60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7 434 045,60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7 434 045,60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2.Финансирование 2 этапа мероприятий Программы составляет - </w:t>
            </w:r>
            <w:r>
              <w:rPr>
                <w:b/>
                <w:sz w:val="20"/>
                <w:szCs w:val="20"/>
              </w:rPr>
              <w:t>7 668 022,89</w:t>
            </w:r>
            <w:r>
              <w:rPr>
                <w:b/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., в том числе по годам и источникам финансирования (руб.):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7 357 884,00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7 357 884,00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248 112,00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248 112,00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62 026,89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62 026,89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7 668 022,89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7 668 022,89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3.Финансирование 3 этапа мероприятий Программы составляет – </w:t>
            </w:r>
            <w:r>
              <w:rPr>
                <w:b/>
                <w:sz w:val="20"/>
                <w:szCs w:val="20"/>
              </w:rPr>
              <w:t xml:space="preserve">29 800,00 </w:t>
            </w:r>
            <w:r>
              <w:rPr>
                <w:b/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., в том числе по годам и источникам финансирования (руб.):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29 800,00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29 800,00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4.Финансирование 4 этапа мероприятий Программы составляет - </w:t>
            </w:r>
            <w:r>
              <w:rPr>
                <w:b/>
                <w:sz w:val="20"/>
                <w:szCs w:val="20"/>
              </w:rPr>
              <w:t>6 188 248,28</w:t>
            </w:r>
            <w:r>
              <w:rPr>
                <w:b/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., в том числе по годам и источникам финансирования (руб.):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5 885 962,00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5 885 962,00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272 486,28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272 486,28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6 188 248,28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6 188 248,28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spacing w:lineRule="auto" w:line="276"/>
        <w:ind w:left="709"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Таблицы 1 и 2 содержания Программы изложить в следующей редакции</w:t>
      </w:r>
    </w:p>
    <w:p>
      <w:pPr>
        <w:pStyle w:val="ConsPlusNormal"/>
        <w:widowControl/>
        <w:spacing w:lineRule="auto" w:line="276"/>
        <w:ind w:firstLine="540"/>
        <w:jc w:val="righ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«Таблица 1.</w:t>
      </w:r>
    </w:p>
    <w:tbl>
      <w:tblPr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425"/>
        <w:gridCol w:w="1305"/>
        <w:gridCol w:w="1410"/>
        <w:gridCol w:w="1305"/>
        <w:gridCol w:w="1485"/>
      </w:tblGrid>
      <w:tr>
        <w:trPr>
          <w:trHeight w:val="621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Финансирование, руб.</w:t>
            </w:r>
          </w:p>
        </w:tc>
      </w:tr>
      <w:tr>
        <w:trPr>
          <w:trHeight w:val="621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(4 этап)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>
        <w:trPr>
          <w:trHeight w:val="61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Фонда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7 101 038,00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0"/>
                <w:szCs w:val="20"/>
              </w:rPr>
              <w:t>7 357 884,00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5 885 962,00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20 344 884,00</w:t>
            </w:r>
          </w:p>
        </w:tc>
      </w:tr>
      <w:tr>
        <w:trPr>
          <w:trHeight w:val="61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266 405,00</w:t>
            </w:r>
          </w:p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0"/>
                <w:szCs w:val="20"/>
              </w:rPr>
              <w:t>248 112,00</w:t>
            </w:r>
          </w:p>
          <w:p>
            <w:pPr>
              <w:pStyle w:val="ConsPlusNonformat"/>
              <w:widowControl/>
              <w:spacing w:lineRule="auto" w:line="240"/>
              <w:ind w:firstLine="6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ConsPlusNonformat"/>
              <w:widowControl/>
              <w:spacing w:lineRule="auto" w:line="240"/>
              <w:ind w:firstLine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272 486,28</w:t>
            </w:r>
          </w:p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787 003,28</w:t>
            </w:r>
          </w:p>
        </w:tc>
      </w:tr>
      <w:tr>
        <w:trPr>
          <w:trHeight w:val="61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tabs>
                <w:tab w:val="clear" w:pos="709"/>
                <w:tab w:val="left" w:pos="1335" w:leader="none"/>
              </w:tabs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  <w:tab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7 367 443,00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/>
            </w:pPr>
            <w:r>
              <w:rPr>
                <w:b/>
                <w:sz w:val="20"/>
                <w:szCs w:val="20"/>
              </w:rPr>
              <w:t>7 605 996,0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6 158 448,28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21 131 887,3</w:t>
            </w:r>
          </w:p>
        </w:tc>
      </w:tr>
    </w:tbl>
    <w:p>
      <w:pPr>
        <w:pStyle w:val="ConsPlusNormal"/>
        <w:widowControl/>
        <w:spacing w:lineRule="auto" w:line="276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ConsPlusNormal"/>
        <w:widowControl/>
        <w:spacing w:lineRule="auto" w:line="276"/>
        <w:ind w:firstLine="54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2.</w:t>
      </w:r>
    </w:p>
    <w:tbl>
      <w:tblPr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425"/>
        <w:gridCol w:w="1305"/>
        <w:gridCol w:w="1410"/>
        <w:gridCol w:w="1305"/>
        <w:gridCol w:w="1485"/>
      </w:tblGrid>
      <w:tr>
        <w:trPr>
          <w:trHeight w:val="621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Финансирование, руб.</w:t>
            </w:r>
          </w:p>
        </w:tc>
      </w:tr>
      <w:tr>
        <w:trPr>
          <w:trHeight w:val="621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(4 этап)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>
        <w:trPr>
          <w:trHeight w:val="61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 на обеспечение обязательного долевого финансирования мероприятий по переселению граждан из аварийного жилищного фонда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66 602,60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62 026,89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29 800,00</w:t>
            </w:r>
          </w:p>
          <w:p>
            <w:pPr>
              <w:pStyle w:val="Normal"/>
              <w:tabs>
                <w:tab w:val="clear" w:pos="709"/>
                <w:tab w:val="left" w:pos="1395" w:leader="none"/>
              </w:tabs>
              <w:spacing w:lineRule="auto" w:line="240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188229,49</w:t>
            </w:r>
          </w:p>
        </w:tc>
      </w:tr>
      <w:tr>
        <w:trPr>
          <w:trHeight w:val="61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 на улучшение жилищных условий граждан, переселяемых из аварийного жилищного фонда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ind w:firstLine="6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ind w:firstLine="6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tabs>
                <w:tab w:val="clear" w:pos="709"/>
                <w:tab w:val="left" w:pos="1335" w:leader="none"/>
              </w:tabs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  <w:tab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66 602,60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62 026,89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29 800,00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  <w:szCs w:val="20"/>
              </w:rPr>
              <w:t>29 800,00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188229,49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spacing w:lineRule="auto" w:line="276"/>
        <w:ind w:left="709" w:hanging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ConsPlusNormal"/>
        <w:widowControl/>
        <w:numPr>
          <w:ilvl w:val="0"/>
          <w:numId w:val="0"/>
        </w:numPr>
        <w:spacing w:lineRule="auto" w:line="276"/>
        <w:ind w:left="0" w:firstLine="709"/>
        <w:jc w:val="both"/>
        <w:outlineLvl w:val="2"/>
        <w:rPr>
          <w:rFonts w:ascii="Times New Roman" w:hAnsi="Times New Roman" w:cs="Times New Roman"/>
          <w:b w:val="false"/>
          <w:b w:val="false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0" w:firstLine="709"/>
        <w:jc w:val="both"/>
        <w:outlineLvl w:val="2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 w:val="28"/>
          <w:szCs w:val="28"/>
        </w:rPr>
        <w:t>Приложения 1 и 2 к Программе изложить в следующей редакции:</w:t>
      </w:r>
    </w:p>
    <w:p>
      <w:pPr>
        <w:pStyle w:val="Normal"/>
        <w:autoSpaceDE w:val="false"/>
        <w:spacing w:lineRule="auto" w:line="240" w:before="0" w:after="0"/>
        <w:jc w:val="right"/>
        <w:rPr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autoSpaceDE w:val="false"/>
        <w:bidi w:val="0"/>
        <w:spacing w:lineRule="auto" w:line="240" w:before="0" w:after="0"/>
        <w:ind w:left="10488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«Приложение 1</w:t>
      </w:r>
    </w:p>
    <w:p>
      <w:pPr>
        <w:pStyle w:val="Normal"/>
        <w:widowControl/>
        <w:tabs>
          <w:tab w:val="clear" w:pos="709"/>
          <w:tab w:val="left" w:pos="6945" w:leader="none"/>
        </w:tabs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 муниципальной программе </w:t>
      </w:r>
    </w:p>
    <w:p>
      <w:pPr>
        <w:pStyle w:val="Normal"/>
        <w:widowControl/>
        <w:tabs>
          <w:tab w:val="clear" w:pos="709"/>
          <w:tab w:val="left" w:pos="6945" w:leader="none"/>
        </w:tabs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«Переселение граждан из аварийного жилищного фонда на территории Шарангского муниципального района Нижегородской области</w:t>
      </w:r>
    </w:p>
    <w:p>
      <w:pPr>
        <w:pStyle w:val="Normal"/>
        <w:widowControl/>
        <w:tabs>
          <w:tab w:val="clear" w:pos="709"/>
          <w:tab w:val="left" w:pos="6945" w:leader="none"/>
        </w:tabs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на 2019 - 2023 годы»</w:t>
      </w:r>
    </w:p>
    <w:p>
      <w:pPr>
        <w:pStyle w:val="Normal"/>
        <w:widowControl/>
        <w:tabs>
          <w:tab w:val="clear" w:pos="709"/>
          <w:tab w:val="left" w:pos="6945" w:leader="none"/>
        </w:tabs>
        <w:suppressAutoHyphens w:val="true"/>
        <w:overflowPunct w:val="true"/>
        <w:bidi w:val="0"/>
        <w:spacing w:before="0" w:after="0"/>
        <w:ind w:left="10488" w:right="0" w:hanging="0"/>
        <w:jc w:val="center"/>
        <w:rPr>
          <w:color w:val="000000"/>
          <w:lang w:eastAsia="ru-RU"/>
        </w:rPr>
      </w:pPr>
      <w:r>
        <w:rPr>
          <w:sz w:val="24"/>
          <w:szCs w:val="24"/>
        </w:rPr>
      </w:r>
    </w:p>
    <w:tbl>
      <w:tblPr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551"/>
        <w:gridCol w:w="1020"/>
        <w:gridCol w:w="615"/>
        <w:gridCol w:w="1245"/>
        <w:gridCol w:w="1365"/>
        <w:gridCol w:w="675"/>
        <w:gridCol w:w="1260"/>
        <w:gridCol w:w="1350"/>
        <w:gridCol w:w="1140"/>
        <w:gridCol w:w="1185"/>
        <w:gridCol w:w="1140"/>
        <w:gridCol w:w="1305"/>
        <w:gridCol w:w="1125"/>
      </w:tblGrid>
      <w:tr>
        <w:trPr/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1 кв.м жилых помещений, подлежащих предоставлению 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программы</w:t>
            </w:r>
          </w:p>
        </w:tc>
      </w:tr>
      <w:tr>
        <w:trPr/>
        <w:tc>
          <w:tcPr>
            <w:tcW w:w="6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>
        <w:trPr/>
        <w:tc>
          <w:tcPr>
            <w:tcW w:w="6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</w:tr>
      <w:tr>
        <w:trPr>
          <w:trHeight w:val="280" w:hRule="atLeast"/>
        </w:trPr>
        <w:tc>
          <w:tcPr>
            <w:tcW w:w="6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/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МО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505,60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471,20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34,40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21 328 638,4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20 344 884,00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787003,28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196751,07</w:t>
            </w:r>
          </w:p>
        </w:tc>
      </w:tr>
      <w:tr>
        <w:trPr/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этапу 2019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7 434 045,60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7 101 038,00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266 405,00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66 602,60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ул.Ленина д.47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42 024,00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2 605 488,00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2 488 775,00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93 370,00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23 343,00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ул.Строителей д.14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42 024,00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2 101 200,00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2 007 077,00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75 298,00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18 825,00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ул.Кутузова д.2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64,90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42 024,00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2 727 357,60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2 605 186,00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97 737,00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24 434,60</w:t>
            </w:r>
          </w:p>
        </w:tc>
      </w:tr>
      <w:tr>
        <w:trPr/>
        <w:tc>
          <w:tcPr>
            <w:tcW w:w="15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этапу 2020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181,40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181,40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7 668 022,89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7 357 884,00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248 112,00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62 026.89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ул.Комсомольская д.22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42 271,35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2 105 113,23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2 019 966,00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68 119,00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17 028,23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ул.Комсомольская д.20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42 271,35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5 562 909,66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5 337 918,00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179 993,00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44 998,66</w:t>
            </w:r>
          </w:p>
        </w:tc>
      </w:tr>
      <w:tr>
        <w:trPr/>
        <w:tc>
          <w:tcPr>
            <w:tcW w:w="15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этапу 2021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29 800,00</w:t>
            </w:r>
          </w:p>
        </w:tc>
      </w:tr>
      <w:tr>
        <w:trPr/>
        <w:tc>
          <w:tcPr>
            <w:tcW w:w="15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этапу 2022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147,30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147,30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6 226 569,86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5 885 962,00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272 486,28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29 800,00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д.Поздеево д.70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42 271,35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3 702 970,26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3 500 411,00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162 048,28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2 190,00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ул.Заречная д.33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42 271,35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2 523 599,60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2 385 551,00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110 438,00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27 610,60</w:t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color w:val="000000"/>
          <w:sz w:val="16"/>
          <w:szCs w:val="16"/>
          <w:lang w:eastAsia="ru-RU"/>
        </w:rPr>
        <w:t>Приложение 2</w:t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right"/>
        <w:rPr/>
      </w:pPr>
      <w:r>
        <w:rPr>
          <w:color w:val="000000"/>
          <w:sz w:val="16"/>
          <w:szCs w:val="16"/>
          <w:lang w:eastAsia="ru-RU"/>
        </w:rPr>
        <w:t xml:space="preserve">к муниципальной программе </w:t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right"/>
        <w:rPr/>
      </w:pPr>
      <w:r>
        <w:rPr>
          <w:color w:val="000000"/>
          <w:sz w:val="16"/>
          <w:szCs w:val="16"/>
          <w:lang w:eastAsia="ru-RU"/>
        </w:rPr>
        <w:t xml:space="preserve">«Переселение граждан из аварийного жилищного фонда </w:t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righ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на территории Шарангского муниципального района Нижегородской области</w:t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right"/>
        <w:rPr/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>
        <w:rPr>
          <w:color w:val="000000"/>
          <w:sz w:val="16"/>
          <w:szCs w:val="16"/>
          <w:lang w:eastAsia="ru-RU"/>
        </w:rPr>
        <w:t>на 2019 - 2023 годы»</w:t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right"/>
        <w:rPr>
          <w:b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center"/>
        <w:rPr>
          <w:b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6945" w:leader="none"/>
        </w:tabs>
        <w:spacing w:before="0" w:after="0"/>
        <w:jc w:val="center"/>
        <w:rPr/>
      </w:pPr>
      <w:r>
        <w:rPr/>
        <w:t>Планируемые показатели переселения граждан из аварийного жилищного фонда, признанного таковым до 1 января 2017 года</w:t>
      </w:r>
    </w:p>
    <w:tbl>
      <w:tblPr>
        <w:tblW w:w="155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40"/>
        <w:gridCol w:w="960"/>
        <w:gridCol w:w="915"/>
        <w:gridCol w:w="1020"/>
        <w:gridCol w:w="1020"/>
        <w:gridCol w:w="1020"/>
        <w:gridCol w:w="1020"/>
        <w:gridCol w:w="1020"/>
        <w:gridCol w:w="1080"/>
        <w:gridCol w:w="1245"/>
        <w:gridCol w:w="1245"/>
        <w:gridCol w:w="1185"/>
        <w:gridCol w:w="1200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Расселяемая площадь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переселяемых жителей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 переселения, в т.ч.: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181,40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147,30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этапу 2019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р.п.Шаранга </w:t>
            </w:r>
          </w:p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д.47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ул.Строителей д.14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р.п.Шаранга </w:t>
            </w:r>
          </w:p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ул.Кутузова д.2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155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этапу 2020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181,40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184,40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ул.Комсомольская д.22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р.п.Шаранга ул.Комсомольская д.20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55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этапу 2021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155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napToGrid w:val="fals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этапу 2022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147,30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147,30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д.Поздеево д.70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р.п.Шаранга </w:t>
            </w:r>
          </w:p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 д.33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945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40" w:right="713" w:header="1134" w:top="1648" w:footer="0" w:bottom="617" w:gutter="0"/>
          <w:pgNumType w:fmt="decimal"/>
          <w:formProt w:val="false"/>
          <w:textDirection w:val="lrTb"/>
        </w:sectPr>
        <w:pStyle w:val="Normal"/>
        <w:shd w:val="clear" w:color="auto" w:fill="FFFFFF"/>
        <w:tabs>
          <w:tab w:val="clear" w:pos="709"/>
          <w:tab w:val="left" w:pos="6945" w:leader="none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».</w:t>
      </w:r>
    </w:p>
    <w:p>
      <w:pPr>
        <w:pStyle w:val="Normal"/>
        <w:shd w:val="clear" w:color="auto" w:fill="FFFFFF"/>
        <w:tabs>
          <w:tab w:val="clear" w:pos="709"/>
          <w:tab w:val="left" w:pos="6945" w:leader="none"/>
        </w:tabs>
        <w:suppressAutoHyphens w:val="true"/>
        <w:overflowPunct w:val="false"/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rFonts w:eastAsia="NSimSun" w:cs="Times New Roman"/>
          <w:b w:val="false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Шарангского муниципального района Д.О.Ожиганова.</w:t>
      </w:r>
    </w:p>
    <w:p>
      <w:pPr>
        <w:pStyle w:val="Normal"/>
        <w:shd w:val="clear" w:color="auto" w:fill="FFFFFF"/>
        <w:tabs>
          <w:tab w:val="clear" w:pos="709"/>
          <w:tab w:val="left" w:pos="6945" w:leader="none"/>
        </w:tabs>
        <w:suppressAutoHyphens w:val="true"/>
        <w:overflowPunct w:val="false"/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6945" w:leader="none"/>
        </w:tabs>
        <w:suppressAutoHyphens w:val="true"/>
        <w:overflowPunct w:val="false"/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rFonts w:cs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LibreOffice/7.0.0.3$Windows_X86_64 LibreOffice_project/8061b3e9204bef6b321a21033174034a5e2ea88e</Application>
  <Pages>6</Pages>
  <Words>1282</Words>
  <Characters>6162</Characters>
  <CharactersWithSpaces>6848</CharactersWithSpaces>
  <Paragraphs>628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2020-09-10T14:52:59Z</cp:lastPrinted>
  <dcterms:modified xsi:type="dcterms:W3CDTF">2020-09-10T14:54:08Z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