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9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50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4"/>
        </w:rPr>
        <w:t>б утверждении Муниципальной программы «Экология Шарангского муниципального района на 2021-2025 годы»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целях улучшения экологической обстановки в Шарангском муниципальном районе администрация Шарангского муниципального района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Утвердить прилагаемую муниципальную программу «Экология Шарангского муниципального района на 2021-2025 годы» (далее - Программа).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Финансовому управлению администрации Шарангского муниципального района при формировании проектов районного бюджета на 2021-2025 годы предусматривать необходимые финансовые средства на реализацию Программы с уточнением объемов ее финансирования исходя из возможностей доходной части районного бюджета.</w:t>
      </w:r>
    </w:p>
    <w:p>
      <w:pPr>
        <w:pStyle w:val="Normal"/>
        <w:spacing w:lineRule="auto" w:line="36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kern w:val="2"/>
          <w:sz w:val="28"/>
          <w:szCs w:val="28"/>
        </w:rPr>
        <w:t>3. Контроль за исполнением настоящего постановления возложить на заместителя главы администрации Д.О. Ожиганова.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615" w:top="672" w:footer="0" w:bottom="503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p>
      <w:pPr>
        <w:pStyle w:val="Normal"/>
        <w:widowControl/>
        <w:shd w:fill="FFFFFF" w:val="clear"/>
        <w:tabs>
          <w:tab w:val="clear" w:pos="709"/>
          <w:tab w:val="left" w:pos="7627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>
      <w:pPr>
        <w:pStyle w:val="Normal"/>
        <w:widowControl/>
        <w:shd w:fill="FFFFFF" w:val="clear"/>
        <w:tabs>
          <w:tab w:val="clear" w:pos="709"/>
          <w:tab w:val="left" w:pos="7627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 администрации</w:t>
      </w:r>
    </w:p>
    <w:p>
      <w:pPr>
        <w:pStyle w:val="Normal"/>
        <w:widowControl/>
        <w:shd w:fill="FFFFFF" w:val="clear"/>
        <w:tabs>
          <w:tab w:val="clear" w:pos="709"/>
          <w:tab w:val="left" w:pos="7627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hd w:fill="FFFFFF" w:val="clear"/>
        <w:tabs>
          <w:tab w:val="clear" w:pos="709"/>
          <w:tab w:val="left" w:pos="7627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от 07.09.2020 г. № 3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50</w:t>
      </w:r>
    </w:p>
    <w:p>
      <w:pPr>
        <w:pStyle w:val="Normal"/>
        <w:shd w:fill="FFFFFF" w:val="clear"/>
        <w:tabs>
          <w:tab w:val="clear" w:pos="709"/>
          <w:tab w:val="left" w:pos="7627" w:leader="none"/>
        </w:tabs>
        <w:jc w:val="center"/>
        <w:rPr>
          <w:b/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</w:r>
    </w:p>
    <w:p>
      <w:pPr>
        <w:pStyle w:val="Normal"/>
        <w:shd w:fill="FFFFFF" w:val="clear"/>
        <w:tabs>
          <w:tab w:val="clear" w:pos="709"/>
          <w:tab w:val="left" w:pos="7627" w:leader="none"/>
        </w:tabs>
        <w:jc w:val="center"/>
        <w:rPr>
          <w:b/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Муниципальная программа</w:t>
      </w:r>
    </w:p>
    <w:p>
      <w:pPr>
        <w:pStyle w:val="Normal"/>
        <w:shd w:fill="FFFFFF" w:val="clear"/>
        <w:tabs>
          <w:tab w:val="clear" w:pos="709"/>
          <w:tab w:val="left" w:pos="7627" w:leader="none"/>
        </w:tabs>
        <w:jc w:val="center"/>
        <w:rPr/>
      </w:pPr>
      <w:r>
        <w:rPr>
          <w:b/>
          <w:spacing w:val="-2"/>
          <w:sz w:val="24"/>
          <w:szCs w:val="24"/>
        </w:rPr>
        <w:t>«Экология Шарангского муниципального района на 2021-2025 годы»</w:t>
      </w:r>
    </w:p>
    <w:p>
      <w:pPr>
        <w:pStyle w:val="Normal"/>
        <w:shd w:fill="FFFFFF" w:val="clear"/>
        <w:tabs>
          <w:tab w:val="clear" w:pos="709"/>
          <w:tab w:val="left" w:pos="7627" w:leader="none"/>
        </w:tabs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clear" w:pos="709"/>
          <w:tab w:val="left" w:pos="0" w:leader="none"/>
        </w:tabs>
        <w:autoSpaceDE w:val="false"/>
        <w:ind w:left="0" w:hanging="425"/>
        <w:jc w:val="center"/>
        <w:rPr/>
      </w:pPr>
      <w:r>
        <w:rPr>
          <w:b/>
          <w:sz w:val="24"/>
          <w:szCs w:val="24"/>
        </w:rPr>
        <w:t>ПАСПОРТ ПРОГРАММЫ</w:t>
      </w:r>
      <w:r>
        <w:rPr>
          <w:spacing w:val="-2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4365" w:leader="none"/>
        </w:tabs>
        <w:jc w:val="both"/>
        <w:rPr/>
      </w:pPr>
      <w:r>
        <w:rPr/>
        <w:tab/>
      </w:r>
    </w:p>
    <w:tbl>
      <w:tblPr>
        <w:tblW w:w="9582" w:type="dxa"/>
        <w:jc w:val="left"/>
        <w:tblInd w:w="62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715"/>
        <w:gridCol w:w="1230"/>
        <w:gridCol w:w="810"/>
        <w:gridCol w:w="855"/>
        <w:gridCol w:w="855"/>
        <w:gridCol w:w="795"/>
        <w:gridCol w:w="735"/>
        <w:gridCol w:w="1587"/>
      </w:tblGrid>
      <w:tr>
        <w:trPr>
          <w:trHeight w:val="960" w:hRule="exact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 .Наименование программы</w:t>
            </w:r>
          </w:p>
        </w:tc>
        <w:tc>
          <w:tcPr>
            <w:tcW w:w="6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hanging="24"/>
              <w:jc w:val="both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Муниципальная программа «Экология Шарангского муниципального района на 2021-2025 годы» (далее Программа) </w:t>
            </w:r>
          </w:p>
        </w:tc>
      </w:tr>
      <w:tr>
        <w:trPr>
          <w:trHeight w:val="2610" w:hRule="exact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1.2.Основание для разработки программы</w:t>
            </w:r>
          </w:p>
        </w:tc>
        <w:tc>
          <w:tcPr>
            <w:tcW w:w="6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10.01.2002г. №7-ФЗ «Об охране окружающей среды», Закон Нижегородской области от 10.09.1996г. №45-З «Об экологической безопасности» , Закон Нижегородской области от 10.09.2010 №144-З «Об обеспечении чистоты и порядка на территории Нижегородской области», постановление администрации Шарангского муниципального района от 12.11.2013 № 303 «Об утверждении порядка разработки, реализации и оценки эффективности муниципальных программ в Шарангском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муниципальном районе» (с изменениями от 10.01.2014 г)</w:t>
            </w:r>
          </w:p>
        </w:tc>
      </w:tr>
      <w:tr>
        <w:trPr>
          <w:trHeight w:val="629" w:hRule="exact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 .Заказчик - координатор Программы</w:t>
            </w:r>
          </w:p>
        </w:tc>
        <w:tc>
          <w:tcPr>
            <w:tcW w:w="6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Шарангского муниципального района</w:t>
            </w:r>
          </w:p>
        </w:tc>
      </w:tr>
      <w:tr>
        <w:trPr>
          <w:trHeight w:val="851" w:hRule="exact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1.4.Основные разработчики Программы</w:t>
            </w:r>
          </w:p>
        </w:tc>
        <w:tc>
          <w:tcPr>
            <w:tcW w:w="6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hanging="1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Администрация Шарангского муниципального района</w:t>
            </w:r>
          </w:p>
        </w:tc>
      </w:tr>
      <w:tr>
        <w:trPr>
          <w:trHeight w:val="2255" w:hRule="exact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 Основные цели Программы</w:t>
            </w:r>
          </w:p>
        </w:tc>
        <w:tc>
          <w:tcPr>
            <w:tcW w:w="6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tabs>
                <w:tab w:val="clear" w:pos="709"/>
                <w:tab w:val="left" w:pos="432" w:leader="none"/>
              </w:tabs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окружающей среды сохранение природных экологических систем, обеспечение экологической безопасности и комфортных условий проживания населения на территории Шарангского муниципального района Нижегородской области, что предполагает повышение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</w:t>
            </w:r>
          </w:p>
        </w:tc>
      </w:tr>
      <w:tr>
        <w:trPr>
          <w:trHeight w:val="1425" w:hRule="atLeast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1.6. Основные задачи Программы</w:t>
            </w:r>
          </w:p>
        </w:tc>
        <w:tc>
          <w:tcPr>
            <w:tcW w:w="686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сохранение уникальных водных объектов Шарангского района;</w:t>
            </w:r>
          </w:p>
          <w:p>
            <w:pPr>
              <w:pStyle w:val="Normal"/>
              <w:shd w:fill="FFFFFF" w:val="clear"/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охрана окружающей среды от загрязнения отходами;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экологическое образование и просвещение;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информационное обеспечение состояния окружающей среды.</w:t>
            </w:r>
          </w:p>
        </w:tc>
      </w:tr>
      <w:tr>
        <w:trPr>
          <w:trHeight w:val="845" w:hRule="exact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1.7.Сроки и этапы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реализации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6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 годы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реализуется в один этап</w:t>
            </w:r>
          </w:p>
        </w:tc>
      </w:tr>
      <w:tr>
        <w:trPr>
          <w:trHeight w:val="1015" w:hRule="exact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1.8.Исполнители основных мероприятий программы</w:t>
            </w:r>
          </w:p>
        </w:tc>
        <w:tc>
          <w:tcPr>
            <w:tcW w:w="6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firstLin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Шарангского муниципального района, </w:t>
            </w:r>
          </w:p>
          <w:p>
            <w:pPr>
              <w:pStyle w:val="Normal"/>
              <w:shd w:fill="FFFFFF" w:val="clear"/>
              <w:ind w:firstLin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(по согласованию), организации района (по согласованию)</w:t>
            </w:r>
          </w:p>
        </w:tc>
      </w:tr>
      <w:tr>
        <w:trPr>
          <w:trHeight w:val="991" w:hRule="exact"/>
        </w:trPr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1.9. Объемы и источники финансирования Программы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Всего за период </w:t>
            </w:r>
            <w:r>
              <w:rPr>
                <w:sz w:val="22"/>
                <w:szCs w:val="22"/>
              </w:rPr>
              <w:t>реализации Программы</w:t>
            </w:r>
          </w:p>
        </w:tc>
        <w:tc>
          <w:tcPr>
            <w:tcW w:w="6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объем финансовых средств, необходимых для реализации данной программы, составляет тыс. руб.</w:t>
            </w:r>
          </w:p>
          <w:p>
            <w:pPr>
              <w:pStyle w:val="Normal"/>
              <w:shd w:fill="FFFFFF" w:val="clea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</w:t>
            </w:r>
            <w:r>
              <w:rPr>
                <w:spacing w:val="-2"/>
                <w:sz w:val="22"/>
                <w:szCs w:val="22"/>
              </w:rPr>
              <w:t>финансирования</w:t>
            </w:r>
          </w:p>
        </w:tc>
      </w:tr>
      <w:tr>
        <w:trPr>
          <w:trHeight w:val="428" w:hRule="exact"/>
        </w:trPr>
        <w:tc>
          <w:tcPr>
            <w:tcW w:w="271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</w:tr>
      <w:tr>
        <w:trPr>
          <w:trHeight w:val="847" w:hRule="exact"/>
        </w:trPr>
        <w:tc>
          <w:tcPr>
            <w:tcW w:w="271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2021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2024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2025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Всего за период </w:t>
            </w:r>
            <w:r>
              <w:rPr>
                <w:sz w:val="22"/>
                <w:szCs w:val="22"/>
              </w:rPr>
              <w:t>реализации Программы</w:t>
            </w:r>
          </w:p>
        </w:tc>
      </w:tr>
      <w:tr>
        <w:trPr>
          <w:trHeight w:val="939" w:hRule="exact"/>
        </w:trPr>
        <w:tc>
          <w:tcPr>
            <w:tcW w:w="271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</w:t>
            </w:r>
            <w:r>
              <w:rPr>
                <w:spacing w:val="-2"/>
                <w:sz w:val="22"/>
                <w:szCs w:val="22"/>
              </w:rPr>
              <w:t>числе (тыс. руб.)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520,0</w:t>
            </w:r>
          </w:p>
        </w:tc>
      </w:tr>
      <w:tr>
        <w:trPr>
          <w:trHeight w:val="562" w:hRule="exact"/>
        </w:trPr>
        <w:tc>
          <w:tcPr>
            <w:tcW w:w="271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6" w:hRule="exact"/>
        </w:trPr>
        <w:tc>
          <w:tcPr>
            <w:tcW w:w="271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>
            <w:pPr>
              <w:pStyle w:val="Normal"/>
              <w:shd w:fill="FFFFFF" w:val="clea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5" w:hRule="exact"/>
        </w:trPr>
        <w:tc>
          <w:tcPr>
            <w:tcW w:w="271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520,0</w:t>
            </w:r>
          </w:p>
        </w:tc>
      </w:tr>
      <w:tr>
        <w:trPr>
          <w:trHeight w:val="545" w:hRule="exact"/>
        </w:trPr>
        <w:tc>
          <w:tcPr>
            <w:tcW w:w="271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68" w:hRule="exact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1.10. Система организации контроля за исполнением Программы</w:t>
            </w:r>
          </w:p>
        </w:tc>
        <w:tc>
          <w:tcPr>
            <w:tcW w:w="6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 31 января исполнители программы представляют в Администрацию района информацию о ходе реализации программы за предыдущий год.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на основе анализа информации готовит предложения по корректировке программы и представляет их на утверждение главы администрации района.</w:t>
            </w:r>
          </w:p>
        </w:tc>
      </w:tr>
      <w:tr>
        <w:trPr>
          <w:trHeight w:val="3409" w:hRule="exact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1.11.Индикаторы достижения цели Программы</w:t>
            </w:r>
          </w:p>
        </w:tc>
        <w:tc>
          <w:tcPr>
            <w:tcW w:w="6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экологической обстановки на территории Шарангского района;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объема сбросов загрязненных сточных вод в водные объекты;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рисков антропогенного воздействия на окружающую среду;</w:t>
            </w:r>
          </w:p>
          <w:p>
            <w:pPr>
              <w:pStyle w:val="Normal"/>
              <w:widowControl w:val="false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качества окружающей среды;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экологического сознания и повышение уровня экологической культуры населения района;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уменьшение количества несанкционированных свалок и объектов размещения отходов;</w:t>
            </w:r>
          </w:p>
          <w:p>
            <w:pPr>
              <w:pStyle w:val="Normal"/>
              <w:shd w:fill="FFFFFF" w:val="clear"/>
              <w:tabs>
                <w:tab w:val="clear" w:pos="709"/>
                <w:tab w:val="left" w:pos="374" w:leader="none"/>
              </w:tabs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объема информации системы учета субъектов хозяйственной и иной деятельности, оказывающих негативное воздействие на окружающую среду</w:t>
            </w:r>
          </w:p>
        </w:tc>
      </w:tr>
    </w:tbl>
    <w:p>
      <w:pPr>
        <w:pStyle w:val="Normal"/>
        <w:shd w:fill="FFFFFF" w:val="clear"/>
        <w:ind w:firstLine="39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shd w:fill="FFFFFF" w:val="clear"/>
        <w:jc w:val="center"/>
        <w:rPr>
          <w:b/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</w:r>
    </w:p>
    <w:p>
      <w:pPr>
        <w:pStyle w:val="Normal"/>
        <w:shd w:fill="FFFFFF" w:val="clear"/>
        <w:jc w:val="center"/>
        <w:rPr>
          <w:b/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2. ТЕКСТ ПРОГРАММЫ</w:t>
      </w:r>
    </w:p>
    <w:p>
      <w:pPr>
        <w:pStyle w:val="Normal"/>
        <w:shd w:fill="FFFFFF" w:val="clear"/>
        <w:jc w:val="center"/>
        <w:rPr>
          <w:b/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</w:r>
    </w:p>
    <w:p>
      <w:pPr>
        <w:pStyle w:val="Normal"/>
        <w:shd w:fill="FFFFFF" w:val="clear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2.1. Содержание проблемы</w:t>
      </w:r>
    </w:p>
    <w:p>
      <w:pPr>
        <w:pStyle w:val="Normal"/>
        <w:widowControl w:val="false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Сферой реализации муниципальной программы является организация эффективной деятельности органов местного самоуправления в области охраны окружающей среды.</w:t>
      </w:r>
    </w:p>
    <w:p>
      <w:pPr>
        <w:pStyle w:val="Normal"/>
        <w:widowControl w:val="false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природы и улучшение окружающей среды являются приоритетными направлениями деятельности государства и общества.</w:t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sz w:val="24"/>
          <w:szCs w:val="24"/>
        </w:rPr>
        <w:t xml:space="preserve">Муниципальная программа </w:t>
      </w:r>
      <w:r>
        <w:rPr>
          <w:spacing w:val="-2"/>
          <w:sz w:val="24"/>
          <w:szCs w:val="24"/>
        </w:rPr>
        <w:t>«Экология Шарангского муниципального района на 2021-2025 годы»</w:t>
      </w:r>
      <w:r>
        <w:rPr>
          <w:sz w:val="24"/>
          <w:szCs w:val="24"/>
        </w:rPr>
        <w:t xml:space="preserve"> (далее -Программа) разработана с целью обеспечения рационального планирования и целевого финансирования мероприятий на территории Шарангского района в соответствии с Федеральным законом от 10.01.2002г. №7-ФЗ «Об охране окружающей среды», Законом Нижегородской области от 10.09.1996г. №45-З «Об экологической безопасности», Законом Нижегородской области от 10.09.2010 №144-З «Об обеспечении чистоты и порядка на территории Нижегородской области».</w:t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sz w:val="24"/>
          <w:szCs w:val="24"/>
        </w:rPr>
        <w:t>Экологические проблемы Шарангского муниципального района Нижегородской области- это увеличение уровня загрязнения атмосферного воздуха, вызванное ежегодным увеличением количества единиц транспорта, загрязнение водных объектов мусором, оформление и постановка на баланс бесхозяйных ГТС.</w:t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sz w:val="24"/>
          <w:szCs w:val="24"/>
        </w:rPr>
        <w:t>Одним из ключевых направлений развития Шарангского муниципального района Нижегородской области является повышение уровня и качества жизни населения. Высокое качество жизни и здоровья населения,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</w:t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sz w:val="24"/>
          <w:szCs w:val="24"/>
        </w:rPr>
        <w:t>Однако перспективное решение проблем экологии и природопользования на территории района требует обеспечения непрерывного и комплексного подхода с использованием программного метода, что обусловило необходимость разработки Программы Программа содержит комплекс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Шарангского муниципального района Нижегородской области, осуществление которых будет способствовать обеспечению экологической безопасности, защите территорий и населения от негативного воздействия, оздоровлению экологической обстановки на водных объектах. Выбор мероприятий Программы основан на анализе экологической ситуации в Шарангском муниципальном районе Нижегородской области , выявившем наиболее острые проблемы.</w:t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sz w:val="24"/>
          <w:szCs w:val="24"/>
        </w:rPr>
        <w:t>Федеральный закон от 10.01.2002 N 7-ФЗ "Об охране окружающей среды" определяет экологическую безопасность,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sz w:val="24"/>
          <w:szCs w:val="24"/>
        </w:rPr>
        <w:t>Обеспечение экологической безопасности на территории района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sz w:val="24"/>
          <w:szCs w:val="24"/>
        </w:rPr>
        <w:t>Конституцией Российской Федерации каждому гражданину гарантировано право на достоверную информацию о состоянии окружающей среды.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</w:t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sz w:val="24"/>
          <w:szCs w:val="24"/>
        </w:rPr>
        <w:t>При этом уровень экологической культуры и экологического сознания части населения области,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</w:t>
      </w:r>
    </w:p>
    <w:p>
      <w:pPr>
        <w:pStyle w:val="Normal"/>
        <w:widowControl w:val="false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sz w:val="24"/>
          <w:szCs w:val="24"/>
        </w:rPr>
        <w:t>Учитывая взаимосвязанный характер актуальных проблем охраны окружающей среды и рационального использования природных ресурсов района, а также необходимость привлечения финансовых средств из различных источников, в связи с затратностью большинства планируемых природоохранных мероприятий и продолжительностью сроков их реализации решение обозначенных выше проблем возможно только программно-целевым методом, предполагающим ориентацию деятельности на достижение поставленных целей.</w:t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jc w:val="center"/>
        <w:rPr>
          <w:sz w:val="24"/>
          <w:szCs w:val="24"/>
        </w:rPr>
      </w:pPr>
      <w:r>
        <w:rPr>
          <w:sz w:val="24"/>
          <w:szCs w:val="24"/>
        </w:rPr>
        <w:t>2.2. Цель и задачи</w:t>
      </w:r>
    </w:p>
    <w:p>
      <w:pPr>
        <w:pStyle w:val="Normal"/>
        <w:widowControl w:val="false"/>
        <w:autoSpaceDE w:val="false"/>
        <w:ind w:firstLine="720"/>
        <w:jc w:val="both"/>
        <w:rPr/>
      </w:pPr>
      <w:r>
        <w:rPr>
          <w:sz w:val="24"/>
          <w:szCs w:val="24"/>
        </w:rPr>
        <w:t>Основными целями Программы являются: повышение качества окружающей среды сохранение природных экологических систем, обеспечение экологической безопасности и комфортных условий проживания населения на территории Шарангского муниципального района Нижегородской области, что предполагает повышение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Задачами Программы являются:</w:t>
      </w:r>
    </w:p>
    <w:p>
      <w:pPr>
        <w:pStyle w:val="Normal"/>
        <w:shd w:fill="FFFFFF" w:val="clear"/>
        <w:ind w:firstLine="720"/>
        <w:rPr/>
      </w:pPr>
      <w:r>
        <w:rPr>
          <w:sz w:val="24"/>
          <w:szCs w:val="24"/>
        </w:rPr>
        <w:t>1. Сохранение уникальных водных объектов Шарангского района.</w:t>
      </w:r>
    </w:p>
    <w:p>
      <w:pPr>
        <w:pStyle w:val="Normal"/>
        <w:shd w:fill="FFFFFF" w:val="clear"/>
        <w:ind w:firstLine="720"/>
        <w:rPr/>
      </w:pPr>
      <w:r>
        <w:rPr>
          <w:sz w:val="24"/>
          <w:szCs w:val="24"/>
        </w:rPr>
        <w:t>2. Охрана окружающей среды от загрязнения отходами.</w:t>
      </w:r>
    </w:p>
    <w:p>
      <w:pPr>
        <w:pStyle w:val="Normal"/>
        <w:shd w:fill="FFFFFF" w:val="clear"/>
        <w:ind w:firstLine="720"/>
        <w:rPr/>
      </w:pPr>
      <w:r>
        <w:rPr>
          <w:sz w:val="24"/>
          <w:szCs w:val="24"/>
        </w:rPr>
        <w:t>3.Экологическое образование и просвещение.</w:t>
      </w:r>
    </w:p>
    <w:p>
      <w:pPr>
        <w:pStyle w:val="Normal"/>
        <w:shd w:fill="FFFFFF" w:val="clear"/>
        <w:ind w:firstLine="720"/>
        <w:rPr/>
      </w:pPr>
      <w:r>
        <w:rPr>
          <w:sz w:val="24"/>
          <w:szCs w:val="24"/>
        </w:rPr>
        <w:t>4. Информационное обеспечение состояния окружающей среды.</w:t>
      </w:r>
    </w:p>
    <w:p>
      <w:pPr>
        <w:pStyle w:val="Normal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jc w:val="center"/>
        <w:rPr>
          <w:sz w:val="24"/>
          <w:szCs w:val="24"/>
        </w:rPr>
      </w:pPr>
      <w:r>
        <w:rPr>
          <w:sz w:val="24"/>
          <w:szCs w:val="24"/>
        </w:rPr>
        <w:t>2.3. Сроки и этапы реализации программы</w:t>
      </w:r>
    </w:p>
    <w:p>
      <w:pPr>
        <w:pStyle w:val="Normal"/>
        <w:shd w:fill="FFFFFF" w:val="clear"/>
        <w:ind w:firstLine="720"/>
        <w:jc w:val="both"/>
        <w:rPr/>
      </w:pPr>
      <w:r>
        <w:rPr>
          <w:sz w:val="24"/>
          <w:szCs w:val="24"/>
        </w:rPr>
        <w:t>Реализация Программы предусмотрена на период с 2021-2025 год включительно. Программа реализуется в один этап.</w:t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jc w:val="center"/>
        <w:rPr>
          <w:sz w:val="24"/>
          <w:szCs w:val="24"/>
        </w:rPr>
      </w:pPr>
      <w:r>
        <w:rPr>
          <w:sz w:val="24"/>
          <w:szCs w:val="24"/>
        </w:rPr>
        <w:t>2.4. Управление Программой и механизм ее реализации</w:t>
      </w:r>
    </w:p>
    <w:p>
      <w:pPr>
        <w:pStyle w:val="Normal"/>
        <w:shd w:fill="FFFFFF" w:val="clear"/>
        <w:ind w:firstLine="720"/>
        <w:jc w:val="both"/>
        <w:rPr/>
      </w:pPr>
      <w:r>
        <w:rPr>
          <w:sz w:val="24"/>
          <w:szCs w:val="24"/>
        </w:rPr>
        <w:t>2.4.1.Программа реализуется в соответствии с действующим законодательством Российской Федерации и Нижегородской области и представляет собой комплекс мероприятий, скоординированных по объемам финансирования, срокам реализации. Муниципальным заказчиком Программы является администрация Шарангского муниципального района. Механизм реализации Программы строится на принципах открытости.</w:t>
      </w:r>
    </w:p>
    <w:p>
      <w:pPr>
        <w:pStyle w:val="Normal"/>
        <w:shd w:fill="FFFFFF" w:val="clear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будет осуществляться в соответствии с планом мероприятий Программы (распределением финансирования по направлению работ, периодам и источникам финансирования).</w:t>
      </w:r>
    </w:p>
    <w:p>
      <w:pPr>
        <w:pStyle w:val="Normal"/>
        <w:shd w:fill="FFFFFF" w:val="clear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2.4.2.Организация управления Программой и контроль за ходом ее реализации.</w:t>
      </w:r>
    </w:p>
    <w:p>
      <w:pPr>
        <w:pStyle w:val="Normal"/>
        <w:shd w:fill="FFFFFF" w:val="clear"/>
        <w:ind w:firstLine="720"/>
        <w:jc w:val="both"/>
        <w:rPr/>
      </w:pPr>
      <w:r>
        <w:rPr>
          <w:sz w:val="24"/>
          <w:szCs w:val="24"/>
        </w:rPr>
        <w:t>Комплексное управление реализацией Программы осуществляет Администрация Шарангского муниципального района которая:</w:t>
      </w:r>
    </w:p>
    <w:p>
      <w:pPr>
        <w:pStyle w:val="Normal"/>
        <w:shd w:fill="FFFFFF" w:val="clear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координирует работу исполнителей программных мероприятий;</w:t>
      </w:r>
    </w:p>
    <w:p>
      <w:pPr>
        <w:pStyle w:val="Normal"/>
        <w:shd w:fill="FFFFFF" w:val="clear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проводит согласование объемов финансирования на очередной финансовый год и на весь период реализации программы;</w:t>
      </w:r>
    </w:p>
    <w:p>
      <w:pPr>
        <w:sectPr>
          <w:headerReference w:type="defaul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shd w:fill="FFFFFF" w:val="clear"/>
        <w:tabs>
          <w:tab w:val="clear" w:pos="709"/>
          <w:tab w:val="left" w:pos="7627" w:leader="none"/>
        </w:tabs>
        <w:spacing w:lineRule="auto" w:line="240"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обеспечивает контроль за эффективным и целевым использованием финансовых средств, качеством проводимых мероприятий, выполнением сроков мероприятий.</w:t>
      </w:r>
    </w:p>
    <w:p>
      <w:pPr>
        <w:pStyle w:val="Normal"/>
        <w:shd w:fill="FFFFFF" w:val="clear"/>
        <w:jc w:val="center"/>
        <w:rPr>
          <w:sz w:val="28"/>
          <w:szCs w:val="28"/>
        </w:rPr>
      </w:pPr>
      <w:r>
        <w:rPr>
          <w:sz w:val="28"/>
          <w:szCs w:val="28"/>
        </w:rPr>
        <w:t>2.5. Система программных мероприятий</w:t>
      </w:r>
    </w:p>
    <w:tbl>
      <w:tblPr>
        <w:tblW w:w="1564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4"/>
        <w:gridCol w:w="2839"/>
        <w:gridCol w:w="1410"/>
        <w:gridCol w:w="3570"/>
        <w:gridCol w:w="1935"/>
        <w:gridCol w:w="1080"/>
        <w:gridCol w:w="1065"/>
        <w:gridCol w:w="1020"/>
        <w:gridCol w:w="915"/>
        <w:gridCol w:w="960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930" w:leader="none"/>
              </w:tabs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6223" w:leader="none"/>
              </w:tabs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финансирования (по годам в разрезе источников), тыс.руб.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1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4"/>
                <w:szCs w:val="24"/>
              </w:rPr>
              <w:t>2023г.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2025г.</w:t>
            </w:r>
          </w:p>
        </w:tc>
      </w:tr>
      <w:tr>
        <w:trPr>
          <w:trHeight w:val="329" w:hRule="atLeast"/>
        </w:trPr>
        <w:tc>
          <w:tcPr>
            <w:tcW w:w="86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pacing w:val="-8"/>
                <w:sz w:val="24"/>
                <w:szCs w:val="24"/>
              </w:rPr>
              <w:t>Цели Программы:</w:t>
            </w:r>
          </w:p>
          <w:p>
            <w:pPr>
              <w:pStyle w:val="Normal"/>
              <w:widowControl w:val="false"/>
              <w:autoSpaceDE w:val="false"/>
              <w:spacing w:lineRule="auto" w:line="240"/>
              <w:ind w:firstLine="720"/>
              <w:jc w:val="both"/>
              <w:rPr/>
            </w:pPr>
            <w:r>
              <w:rPr>
                <w:sz w:val="24"/>
                <w:szCs w:val="24"/>
              </w:rPr>
              <w:t>Повышение качества окружающей среды сохранение природных экологических систем, обеспечение экологической безопасности и комфортных условий проживания населения на территории Шарангского муниципального района Нижегородской области, что предполагает повышение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</w:tr>
      <w:tr>
        <w:trPr>
          <w:trHeight w:val="558" w:hRule="atLeast"/>
        </w:trPr>
        <w:tc>
          <w:tcPr>
            <w:tcW w:w="867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52" w:hRule="atLeast"/>
        </w:trPr>
        <w:tc>
          <w:tcPr>
            <w:tcW w:w="867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45" w:hRule="atLeast"/>
        </w:trPr>
        <w:tc>
          <w:tcPr>
            <w:tcW w:w="867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</w:tr>
      <w:tr>
        <w:trPr>
          <w:trHeight w:val="552" w:hRule="atLeast"/>
        </w:trPr>
        <w:tc>
          <w:tcPr>
            <w:tcW w:w="867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15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4"/>
                <w:szCs w:val="24"/>
              </w:rPr>
              <w:t>Задача 1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4"/>
                <w:szCs w:val="24"/>
                <w:shd w:fill="FFFFFF" w:val="clear"/>
              </w:rPr>
              <w:t>Сохранение уникальных водных объектов Шарангского района</w:t>
            </w:r>
          </w:p>
        </w:tc>
      </w:tr>
      <w:tr>
        <w:trPr>
          <w:trHeight w:val="412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Участие в Акции «Вода России» (мероприятия по очистке от бытового мусора и древесного</w:t>
            </w:r>
          </w:p>
          <w:p>
            <w:pPr>
              <w:pStyle w:val="Normal"/>
              <w:shd w:fill="FFFFFF" w:val="clear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хлама берегов водных объектов)</w:t>
            </w:r>
          </w:p>
          <w:p>
            <w:pPr>
              <w:pStyle w:val="Normal"/>
              <w:tabs>
                <w:tab w:val="clear" w:pos="709"/>
                <w:tab w:val="left" w:pos="6684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2021г – 2025г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администрации поселений (по согласованию)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621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59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53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5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4"/>
                <w:szCs w:val="24"/>
              </w:rPr>
              <w:t>Задача 2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окружающей среды от загрязнения отходами</w:t>
            </w:r>
          </w:p>
        </w:tc>
      </w:tr>
      <w:tr>
        <w:trPr>
          <w:trHeight w:val="450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 территории Шарангского муниципального района в целях выявления мест несанкционированного размещения твердых бытовых отходов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с апреля по октябрь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Комиссия по предупреждению и ликвидации несанкционированных свалок ТКО на территории Шарангского муниципального района (далее –Комиссия), администрации поселений района (по согласованию)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33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Ликвидация выявленных несанкционированных свалок и навалов ТКО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Администрации поселений района (по согласованию); организации, предприятия, учреждения (по согласованию); владельцы, пользователи, арендаторы земельных участков, на которых выявлены несанкционированные свалки и навалы ТКО (по согласованию), ООО «ЭкоСтандарт» (по согласованию)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Работа с населением района в целях предупреждения и недопущения образования свалок ТКО: размещение в районной газете «Знамя победы» публикаций, видеороликов на телевидении «Истоки», проведение агитационных бесед с населением, организация сходов граждан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2021-2025гг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/>
            </w:pPr>
            <w:r>
              <w:rPr>
                <w:spacing w:val="-1"/>
                <w:sz w:val="24"/>
                <w:szCs w:val="24"/>
              </w:rPr>
              <w:t>Комиссия, администрации поселений района (по согласованию), МУП «Редакция газеты «Знамя победы», МП Шарангское телевидение «Истоки»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07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учащимися образовательных учреждений района с целью формирования экологической культуры школьников: проведение тематических классных часов, бесед, районных акций «Чистый берег», «Чистая обочина» с участием учащихся школ; участие школьников, их родителей и учителей в международной экологической акции «Сделай мир чище», «Чистый родник»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Постоянно 2021-2025 г.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акций: ежегодно апрель-май-октябрь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экологических акциях по посадке саженцев по озеленению территории Шарангского муниципального района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Постоянно 2021-2025 г.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Проведение акций: ежегодно апрель-май-сентябрь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22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 и (или) бункеров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2021-2025 гг по необходимости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</w:t>
            </w:r>
          </w:p>
          <w:p>
            <w:pPr>
              <w:pStyle w:val="Normal"/>
              <w:shd w:fill="FFFFFF" w:val="clear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администрации поселений района (по согласованию)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06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Создание (обустройство) контейнерных площадок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2021-2025 гг по необходимости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</w:t>
            </w:r>
          </w:p>
          <w:p>
            <w:pPr>
              <w:pStyle w:val="Normal"/>
              <w:shd w:fill="FFFFFF" w:val="clear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администрации поселений района (по согласованию)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558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52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18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33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2021-2025гг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 и подведомственные им бюджетные учреждения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</w:tr>
      <w:tr>
        <w:trPr>
          <w:trHeight w:val="45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>
        <w:trPr>
          <w:trHeight w:val="45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очистке территории района в рамках месячника по благоустройству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2021-2025гг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района; администрации поселений района (по согласованию); организации, предприятия, учреждения, (по согласованию)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542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13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07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99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субботников по благоустройству на подведомственных территориях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2021-2025гг еженедельно с апреля по октябрь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района (по согласованию), руководители предприятий, организаций, учреждений (по согласованию)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Calibri"/>
                <w:color w:val="000000"/>
                <w:sz w:val="24"/>
                <w:szCs w:val="24"/>
              </w:rPr>
              <w:t>Участие в Эко-марафоне Переработка «Сдай макулатуру – спаси дерево!»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2021-2025гг апрель, октябрь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Администрация района, администрации поселений района (по согласованию), предприятия, организации, учреждения (по согласованию), население района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5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№3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 образование и просвещение</w:t>
            </w:r>
          </w:p>
        </w:tc>
      </w:tr>
      <w:tr>
        <w:trPr>
          <w:trHeight w:val="468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Проведение семинаров и конференций в образовательных учреждениях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2021-2025гг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96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Распространение методической литературы по экологическому образованию в ДОУ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2021-2025гг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5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№4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обеспечение состояния окружающей среды</w:t>
            </w:r>
          </w:p>
        </w:tc>
      </w:tr>
      <w:tr>
        <w:trPr>
          <w:trHeight w:val="399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районной газете «Знамя победы» публикаций, видеороликов на телевидении «Истоки», информацию о состоянии окружающей среды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2021-2025 гг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МУП «Редакция газеты «Знамя победы», МП Шарангское телевидение «Истоки»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418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24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04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Изготовление и установка информационных указателей в местах массового отдыха людей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2021-2025гг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администрация района , администрации поселений района (по согласованию)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2.7. Индикаторы достижения целей программы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645" w:type="dxa"/>
        <w:jc w:val="left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6525"/>
        <w:gridCol w:w="4080"/>
        <w:gridCol w:w="1080"/>
        <w:gridCol w:w="1065"/>
        <w:gridCol w:w="1020"/>
        <w:gridCol w:w="915"/>
        <w:gridCol w:w="960"/>
      </w:tblGrid>
      <w:tr>
        <w:trPr/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 индикаторов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целей программы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2025 год</w:t>
            </w:r>
          </w:p>
        </w:tc>
      </w:tr>
      <w:tr>
        <w:trPr/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зеленых насаждений в районе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Приобретение контейнеров и (или) бункеров для ТКО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Создание (обустройство) контейнерных площадок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Вывоз и утилизация бытового и промышленного мусора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метров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Очистка прибрежной зоны водоемов от бытового мусора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обеспечение природоохранной деятельности (газетные статьи)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739" w:hRule="atLeast"/>
        </w:trPr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экологического образования в школах района (беседы, совместные мероприятия по уборке территорий)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615" w:right="578" w:header="1134" w:top="1648" w:footer="0" w:bottom="572" w:gutter="0"/>
          <w:pgNumType w:fmt="decimal"/>
          <w:formProt w:val="false"/>
          <w:textDirection w:val="lrTb"/>
        </w:sectPr>
        <w:pStyle w:val="ConsPlusNormal"/>
        <w:shd w:fill="FFFFFF" w:val="clear"/>
        <w:tabs>
          <w:tab w:val="clear" w:pos="709"/>
          <w:tab w:val="left" w:pos="7627" w:leader="none"/>
        </w:tabs>
        <w:spacing w:lineRule="auto" w:line="240"/>
        <w:ind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2.8. Оценка эффективности реализации программы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tabs>
          <w:tab w:val="clear" w:pos="709"/>
          <w:tab w:val="left" w:pos="7655" w:leader="none"/>
        </w:tabs>
        <w:spacing w:lineRule="auto" w:line="240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В связи с тем, что мероприятия программы направлены на улучшение качества окружающей среды и не имеют целью привлечение дополнительных инвестиций либо пополнение районного бюджета, оценить экономическую эффективность программы на данном этапе не представляется возможным.</w:t>
      </w:r>
    </w:p>
    <w:sectPr>
      <w:headerReference w:type="default" r:id="rId6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665"/>
        </w:tabs>
        <w:ind w:left="4665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5234d"/>
    <w:pPr/>
    <w:rPr>
      <w:rFonts w:cs="Mangal"/>
    </w:rPr>
  </w:style>
  <w:style w:type="paragraph" w:styleId="Style18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20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4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5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9">
    <w:name w:val="WW8Num19"/>
    <w:qFormat/>
  </w:style>
  <w:style w:type="numbering" w:styleId="WW8Num18">
    <w:name w:val="WW8Num18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LibreOffice/7.0.0.3$Windows_X86_64 LibreOffice_project/8061b3e9204bef6b321a21033174034a5e2ea88e</Application>
  <Pages>13</Pages>
  <Words>2586</Words>
  <Characters>16926</Characters>
  <CharactersWithSpaces>18729</CharactersWithSpaces>
  <Paragraphs>799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2020-09-07T11:41:48Z</cp:lastPrinted>
  <dcterms:modified xsi:type="dcterms:W3CDTF">2020-09-07T11:42:06Z</dcterms:modified>
  <cp:revision>85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