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6.xml" ContentType="application/vnd.openxmlformats-officedocument.wordprocessingml.header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Times New Roman" w:hAnsi="Times New Roman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rFonts w:ascii="Times New Roman" w:hAnsi="Times New Roman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rFonts w:ascii="Times New Roman" w:hAnsi="Times New Roman"/>
        </w:rPr>
      </w:pPr>
      <w:r>
        <w:rPr>
          <w:sz w:val="28"/>
          <w:szCs w:val="28"/>
        </w:rPr>
        <w:t>от 31.0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310</w:t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rFonts w:ascii="Times New Roman" w:hAnsi="Times New Roman"/>
        </w:rPr>
      </w:pPr>
      <w:r>
        <w:rPr>
          <w:b/>
          <w:bCs/>
          <w:sz w:val="28"/>
          <w:szCs w:val="28"/>
        </w:rPr>
        <w:t xml:space="preserve">Об утверждении муниципальной программы «Обеспечение граждан Шарангского района доступным и комфортным жильем на период 2021-2023 годы»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 xml:space="preserve">В целях повышения доступности жилья для населения и реализации мер по эффективному расходованию средств бюджета Шарангского муниципального района на жилищное обеспечение администрация Шарангского муниципального района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>1. Утвердить прилагаемую муниципальную программу «Обеспечение граждан Шарангского района доступным и комфортным жильем на период 2021-2023 годы».</w:t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Style w:val="FontStyle13"/>
          <w:rFonts w:ascii="Times New Roman" w:hAnsi="Times New Roman"/>
          <w:sz w:val="28"/>
          <w:szCs w:val="28"/>
        </w:rPr>
        <w:t>2. Финансовому управлению администрации Шарангского муниципального района осуществлять финансирование мероприятий в пределах средств, предусмотренных в районном бюджете.</w:t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>3. Настоящее постановление вступает в силу с 1 января 2021 года.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>
          <w:rFonts w:ascii="Times New Roman" w:hAnsi="Times New Roman"/>
        </w:rPr>
      </w:pPr>
      <w:r>
        <w:rPr>
          <w:rFonts w:cs="Times New Roman"/>
          <w:b w:val="false"/>
          <w:bCs/>
          <w:sz w:val="28"/>
          <w:szCs w:val="28"/>
        </w:rPr>
        <w:t>4. Контроль за исполнением настоящего постановления возложить на заместителя главы администрации Д.О.Ожиганова.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</w:rPr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Утверждена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ind w:left="4536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31.07.2020 г. № 310</w:t>
      </w:r>
    </w:p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964" w:right="964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Муниципальная программа «Обеспечение граждан Шарангского района доступным и комфортным жильем на период 2021-2023 годы»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(далее – Программа)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numPr>
          <w:ilvl w:val="0"/>
          <w:numId w:val="3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Паспорт Программы</w:t>
      </w:r>
    </w:p>
    <w:p>
      <w:pPr>
        <w:pStyle w:val="ConsPlusNormal"/>
        <w:numPr>
          <w:ilvl w:val="0"/>
          <w:numId w:val="0"/>
        </w:numPr>
        <w:ind w:left="720" w:hanging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58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731"/>
        <w:gridCol w:w="1066"/>
        <w:gridCol w:w="1080"/>
        <w:gridCol w:w="1020"/>
        <w:gridCol w:w="1424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разработки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Государственная программа «Развитие жилищного строительства и государственная поддержка граждан по обеспечению жильем на территории Нижегородской области», утвержденная постановлением Правительства Нижегородской области от 30 апреля 2014 года № 302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разработчики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Основная цель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доступным и комфортным жильем граждан, проживающих на территории Шарангского района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 Государственная поддержка молодых семей Шарангского района в решении жилищной проблемы.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2.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 использованием ипотечного жилищного кредитования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Программа реализуется с 2021 по 2023 годы. 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Программа реализуется в 1 этап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основных мероприятий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</w:t>
            </w:r>
          </w:p>
        </w:tc>
      </w:tr>
      <w:tr>
        <w:trPr>
          <w:trHeight w:val="360" w:hRule="atLeast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3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Объемы и источники финансирования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45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tabs>
                <w:tab w:val="clear" w:pos="709"/>
                <w:tab w:val="left" w:pos="1026" w:leader="none"/>
                <w:tab w:val="left" w:pos="1309" w:leader="none"/>
                <w:tab w:val="left" w:pos="1451" w:leader="none"/>
              </w:tabs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175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1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273,5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174,64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612,74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468,7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425,84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1310,34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902,3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720,98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2 324,18</w:t>
            </w:r>
          </w:p>
        </w:tc>
      </w:tr>
      <w:tr>
        <w:trPr>
          <w:trHeight w:val="510" w:hRule="atLeast"/>
        </w:trPr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</w:t>
            </w:r>
          </w:p>
        </w:tc>
      </w:tr>
      <w:tr>
        <w:trPr>
          <w:trHeight w:val="510" w:hRule="atLeast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1.10. Подпрограммы муниципальной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1. «</w:t>
            </w:r>
            <w:r>
              <w:rPr>
                <w:rFonts w:eastAsia="Times New Roman" w:cs="Times New Roman" w:ascii="Times New Roman" w:hAnsi="Times New Roman"/>
                <w:color w:val="auto"/>
                <w:kern w:val="2"/>
                <w:sz w:val="24"/>
                <w:szCs w:val="24"/>
                <w:lang w:val="ru-RU" w:eastAsia="zh-CN" w:bidi="ar-SA"/>
              </w:rPr>
              <w:t>О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беспечение жильем молодых семей в Шарангском районе на период 2021-2023 годы».</w:t>
            </w:r>
          </w:p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2. «</w:t>
            </w:r>
            <w:r>
              <w:rPr>
                <w:rFonts w:eastAsia="Times New Roman" w:cs="Times New Roman" w:ascii="Times New Roman" w:hAnsi="Times New Roman"/>
                <w:color w:val="auto"/>
                <w:kern w:val="2"/>
                <w:sz w:val="24"/>
                <w:szCs w:val="24"/>
                <w:lang w:val="ru-RU" w:eastAsia="zh-CN" w:bidi="ar-SA"/>
              </w:rPr>
              <w:t>И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потечное жилищное кредитование населения Шарангского района на период 2021-2023 годы»</w:t>
            </w:r>
          </w:p>
        </w:tc>
      </w:tr>
      <w:tr>
        <w:trPr>
          <w:trHeight w:val="510" w:hRule="atLeast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1.11.Система организации контроля за исполнением Программы</w:t>
            </w:r>
          </w:p>
        </w:tc>
        <w:tc>
          <w:tcPr>
            <w:tcW w:w="7321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Контроль за исполнением Программы осуществляет Администрация Шарангского муниципального района</w:t>
            </w:r>
          </w:p>
        </w:tc>
      </w:tr>
      <w:tr>
        <w:trPr>
          <w:trHeight w:val="510" w:hRule="atLeast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1.12. Индикаторы достижения целей Программы</w:t>
            </w:r>
          </w:p>
        </w:tc>
        <w:tc>
          <w:tcPr>
            <w:tcW w:w="7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Доля молодых семей, обеспеченных жилыми помещениями (от общего количества молодых семей – участников Программы) - 7,9 % </w:t>
            </w:r>
          </w:p>
        </w:tc>
      </w:tr>
    </w:tbl>
    <w:p>
      <w:pPr>
        <w:pStyle w:val="ConsPlusNormal"/>
        <w:numPr>
          <w:ilvl w:val="0"/>
          <w:numId w:val="0"/>
        </w:numPr>
        <w:ind w:left="720" w:firstLine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Текст Программы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0" w:name="Par323"/>
      <w:bookmarkEnd w:id="0"/>
      <w:r>
        <w:rPr>
          <w:rFonts w:cs="Times New Roman" w:ascii="Times New Roman" w:hAnsi="Times New Roman"/>
          <w:sz w:val="24"/>
          <w:szCs w:val="24"/>
        </w:rPr>
        <w:t>2.1. Содержание проблемы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Государственная жилищная политика наряду с прежней ориентацией на нужды социально незащищенных групп населения делает новый акцент на решении жилищных проблем части работающего населения, располагающего средними доходами, накоплениями.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Основным способом решения жилищной проблемы для этой части населения является долгосрочное ипотечное жилищное кредитование и государственная поддержка в виде социальных выплат на приобретение (строительство) жилья. Бюджетное финансирование, направленное на непосредственную поддержку граждан, уровень доходов которых не позволяет им самостоятельно улучшить свои жилищные условия, реализуется в различных жилищных программах. 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 период реализации районной муниципальной программы "Ипотечное жилищное кредитование населения Шарангского района Нижегородской области" с 2010 по 2012 годы 10 человек получили государственную поддержку на улучшение жилищных условий.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рамках муниципальной программы «Обеспечение граждан Шарангского района доступным и комфортным жильем на период 2018-2020 годы», улучшили жилищные условия 4 молодые семьи благодаря оказанию государственной поддержки молодым семьям – участникам Программы, нуждающимся в жилых помещениях, путем предоставления им социальных выплат за счет средств федерального, областного и местных бюджетов.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 состоянию на 1 января 2020 года в Шарангском районе на учете нуждающихся в улучшении жилищных условий состояло 39 молодых семей. Для данной категории семей жилищная проблема является наиболее острой и требует решения в ближайшее время.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Несмотря на создание основ функционирования рынка жилья, приобретение, строительство и наем жилья с использованием рыночных механизмов на практике пока доступны лишь ограниченному кругу семей - семьям с высокими доходами.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целях повышения доступности жилья для населения необходимо обеспечить условия для дальнейшего развития системы ипотечного жилищного кредитования и других механизмов расширения платежеспособного спроса, в том числе и различные виды государственной поддержки приобретения жилья.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Таким образом, реализация настоящей Программы позволит продолжить реализацию выбранного направления по обеспечению населения Шарангского района доступным и комфортным жильем и улучшить ситуацию с обеспеченностью жильем граждан, проживающих на территории Шарангского района.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1" w:name="Par352"/>
      <w:bookmarkEnd w:id="1"/>
      <w:r>
        <w:rPr>
          <w:rFonts w:cs="Times New Roman" w:ascii="Times New Roman" w:hAnsi="Times New Roman"/>
          <w:sz w:val="24"/>
          <w:szCs w:val="24"/>
        </w:rPr>
        <w:t>2.2. Цели и задачи Программы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Основной целью Программы является обеспечение доступным и комфортным жильем граждан, проживающих на территории Шарангского района.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Задачами Программы являются:</w:t>
      </w:r>
    </w:p>
    <w:p>
      <w:pPr>
        <w:pStyle w:val="ConsPlusCel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поддержка молодых семей Шарангского района в решении жилищной проблемы;</w:t>
      </w:r>
    </w:p>
    <w:p>
      <w:pPr>
        <w:pStyle w:val="ConsPlusCel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оказание государственной поддержки гражданам Шарангского района в решении жилищной проблемы с использованием ипотечного жилищного кредитования.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2" w:name="Par365"/>
      <w:bookmarkEnd w:id="2"/>
      <w:r>
        <w:rPr>
          <w:rFonts w:cs="Times New Roman" w:ascii="Times New Roman" w:hAnsi="Times New Roman"/>
          <w:sz w:val="24"/>
          <w:szCs w:val="24"/>
        </w:rPr>
        <w:t>2.3. Сроки и этапы реализации Программы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Программа реализуется с 2021 по 2023 годы.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Программа выполняется в один этап.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Программа включает в себя Подпрограммы: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«Обеспечение жильем молодых семей в Шарангском районе на период 2021-2023 годы»;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«Ипотечное жилищное кредитование населения Шарангского района на период 2021-2023 годы»;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3" w:name="Par381"/>
      <w:bookmarkEnd w:id="3"/>
      <w:r>
        <w:rPr>
          <w:rFonts w:cs="Times New Roman" w:ascii="Times New Roman" w:hAnsi="Times New Roman"/>
          <w:sz w:val="24"/>
          <w:szCs w:val="24"/>
        </w:rPr>
        <w:t>2.4. Управление Программой и механизм ее реализации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Реализация Программы предусматривает оказание государственной поддержки на улучшение жилищных условий гражданам, имеющим регистрацию по месту жительства на территории Шарангского района, в форме социальной выплаты на приобретение (строительство) жилых помещений, а также выплату денежных компенсаций гражданам на погашение части ежемесячного платежа по полученным ипотечным жилищным кредитам в рамках ранее действующих программ.</w:t>
      </w:r>
    </w:p>
    <w:p>
      <w:pPr>
        <w:sectPr>
          <w:headerReference w:type="default" r:id="rId3"/>
          <w:type w:val="nextPage"/>
          <w:pgSz w:w="11906" w:h="16838"/>
          <w:pgMar w:left="1418" w:right="850" w:header="915" w:top="972" w:footer="0" w:bottom="698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Администрация Шарангского муниципального района осуществляет общую координацию реализации и управления Программы в соответствии с каждой Подпрограммой.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2.5. Система мероприятий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551" w:type="dxa"/>
        <w:jc w:val="left"/>
        <w:tblInd w:w="13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2836"/>
        <w:gridCol w:w="1560"/>
        <w:gridCol w:w="3107"/>
        <w:gridCol w:w="2222"/>
        <w:gridCol w:w="1243"/>
        <w:gridCol w:w="1306"/>
        <w:gridCol w:w="1307"/>
        <w:gridCol w:w="1295"/>
      </w:tblGrid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3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/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Годы: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09"/>
                <w:tab w:val="left" w:pos="36" w:leader="none"/>
              </w:tabs>
              <w:ind w:left="36" w:right="175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/>
        <w:tc>
          <w:tcPr>
            <w:tcW w:w="817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Цель Программы: обеспечение доступным и комфортным жильем граждан, проживающих на территории Шарангского района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902,3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720,98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2 324,18</w:t>
            </w:r>
          </w:p>
        </w:tc>
      </w:tr>
      <w:tr>
        <w:trPr/>
        <w:tc>
          <w:tcPr>
            <w:tcW w:w="8176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/>
        <w:tc>
          <w:tcPr>
            <w:tcW w:w="8176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273,5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174,64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612,74</w:t>
            </w:r>
          </w:p>
        </w:tc>
      </w:tr>
      <w:tr>
        <w:trPr/>
        <w:tc>
          <w:tcPr>
            <w:tcW w:w="8176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468,7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425,84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1310,34</w:t>
            </w:r>
          </w:p>
        </w:tc>
      </w:tr>
      <w:tr>
        <w:trPr/>
        <w:tc>
          <w:tcPr>
            <w:tcW w:w="8176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15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 «Обеспечение жильем молодых семей в Шарангском районе на период 2021-2023 годы»</w:t>
            </w:r>
          </w:p>
        </w:tc>
      </w:tr>
      <w:tr>
        <w:trPr/>
        <w:tc>
          <w:tcPr>
            <w:tcW w:w="35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1: 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2021-2023 годы</w:t>
            </w:r>
          </w:p>
        </w:tc>
        <w:tc>
          <w:tcPr>
            <w:tcW w:w="31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ind w:firstLine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Normal"/>
              <w:ind w:firstLine="4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799,5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2201,3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222,1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550,3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417,3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1248,9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firstLine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15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 «Ипотечное жилищное кредитование населения Шарангского района на период 2021-2023 годы»</w:t>
            </w:r>
          </w:p>
        </w:tc>
      </w:tr>
      <w:tr>
        <w:trPr/>
        <w:tc>
          <w:tcPr>
            <w:tcW w:w="35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Задача 1: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 использованием ипотечного жилищного кредитования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2021-2023 годы</w:t>
            </w:r>
          </w:p>
        </w:tc>
        <w:tc>
          <w:tcPr>
            <w:tcW w:w="31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Normal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ПАО «Сбербанк» (по согласованию)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35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1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firstLine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</w:tbl>
    <w:p>
      <w:pPr>
        <w:sectPr>
          <w:headerReference w:type="default" r:id="rId4"/>
          <w:type w:val="nextPage"/>
          <w:pgSz w:orient="landscape" w:w="16838" w:h="11906"/>
          <w:pgMar w:left="600" w:right="653" w:header="1134" w:top="1648" w:footer="0" w:bottom="572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2.6. Ресурсное обеспечение Программы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Необходимые расходы на финансирование мероприятий Программы приведены в таблице 1.</w:t>
      </w:r>
    </w:p>
    <w:p>
      <w:pPr>
        <w:pStyle w:val="Normal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1</w:t>
      </w:r>
    </w:p>
    <w:p>
      <w:pPr>
        <w:pStyle w:val="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Финансирование мероприятий Программы</w:t>
      </w:r>
    </w:p>
    <w:tbl>
      <w:tblPr>
        <w:tblW w:w="9654" w:type="dxa"/>
        <w:jc w:val="left"/>
        <w:tblInd w:w="7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1608"/>
        <w:gridCol w:w="1085"/>
        <w:gridCol w:w="1701"/>
        <w:gridCol w:w="1274"/>
        <w:gridCol w:w="1277"/>
        <w:gridCol w:w="1276"/>
        <w:gridCol w:w="1432"/>
      </w:tblGrid>
      <w:tr>
        <w:trPr>
          <w:trHeight w:val="72" w:hRule="atLeast"/>
          <w:cantSplit w:val="true"/>
        </w:trPr>
        <w:tc>
          <w:tcPr>
            <w:tcW w:w="16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Задачи</w:t>
            </w:r>
          </w:p>
        </w:tc>
        <w:tc>
          <w:tcPr>
            <w:tcW w:w="8045" w:type="dxa"/>
            <w:gridSpan w:val="6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1: 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799,5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2201,3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222,1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550,3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417,3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1248,9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2: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widowControl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902,3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720,98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2 324,18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273,5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174,64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612,74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468,7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425,84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1310,34</w:t>
            </w:r>
          </w:p>
        </w:tc>
      </w:tr>
      <w:tr>
        <w:trPr>
          <w:trHeight w:val="72" w:hRule="atLeast"/>
          <w:cantSplit w:val="true"/>
        </w:trPr>
        <w:tc>
          <w:tcPr>
            <w:tcW w:w="2693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</w:tbl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период.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2.7. Индикаторы достижения цели Программы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Основные индикаторы достижения цели Программы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66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984"/>
        <w:gridCol w:w="1277"/>
        <w:gridCol w:w="1983"/>
        <w:gridCol w:w="1985"/>
        <w:gridCol w:w="2137"/>
      </w:tblGrid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 целей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Программы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Единицы измерения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целей Программы</w:t>
            </w:r>
          </w:p>
        </w:tc>
        <w:tc>
          <w:tcPr>
            <w:tcW w:w="6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Значения индикаторов целей Программы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 момент разработки Программы (факт 2019 года)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 окончании реализации Программы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Без программного вмешательства (после предполагаемого срока реализации Программы)</w:t>
            </w:r>
          </w:p>
        </w:tc>
      </w:tr>
      <w:tr>
        <w:trPr/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Обеспеченность социальными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выплатами молодых семей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7,9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</w:tr>
    </w:tbl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Промежуточное значение индикаторов целей Программы</w:t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(нарастающим итогом)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66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984"/>
        <w:gridCol w:w="1560"/>
        <w:gridCol w:w="1984"/>
        <w:gridCol w:w="1701"/>
        <w:gridCol w:w="2137"/>
      </w:tblGrid>
      <w:tr>
        <w:trPr/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индикаторов целей 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Единицы измерения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целей Программы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 год</w:t>
            </w:r>
          </w:p>
        </w:tc>
      </w:tr>
      <w:tr>
        <w:trPr/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Обеспеченность социальными выплатами молодых семей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5,1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7,9</w:t>
            </w:r>
          </w:p>
        </w:tc>
      </w:tr>
    </w:tbl>
    <w:p>
      <w:pPr>
        <w:pStyle w:val="ConsPlusNormal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2.8. Показатель непосредственного результата</w:t>
      </w:r>
    </w:p>
    <w:p>
      <w:pPr>
        <w:pStyle w:val="ConsPlusNormal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реализации Программы</w:t>
      </w:r>
    </w:p>
    <w:p>
      <w:pPr>
        <w:pStyle w:val="ConsPlusNormal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Показатели непосредственных результатов реализации Программы приведены в прилагаемых Подпрограммах.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1"/>
          <w:numId w:val="4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Оценка эффективности реализации Программы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Оценка эффективности реализации Программы приведена в прилагаемых Подпрограммах.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2.10. Система организации контроля за исполнением Программы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Контроль за исполнением Программы осуществляет администрация Шарангского муниципального района.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Подпрограмма 1 «Обеспечение жильем молодых семей в Шарангском районе на период 2021-2023 годы»</w:t>
      </w:r>
    </w:p>
    <w:p>
      <w:pPr>
        <w:pStyle w:val="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(далее – Подпрограмма 1)</w:t>
      </w:r>
    </w:p>
    <w:p>
      <w:pPr>
        <w:pStyle w:val="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numPr>
          <w:ilvl w:val="0"/>
          <w:numId w:val="5"/>
        </w:numPr>
        <w:ind w:left="0" w:right="0" w:hanging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Паспорт Подпрограммы 1</w:t>
      </w:r>
    </w:p>
    <w:p>
      <w:pPr>
        <w:pStyle w:val="ConsPlusNormal"/>
        <w:numPr>
          <w:ilvl w:val="0"/>
          <w:numId w:val="0"/>
        </w:numPr>
        <w:ind w:left="0" w:right="0" w:hanging="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49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560"/>
        <w:gridCol w:w="1134"/>
        <w:gridCol w:w="1417"/>
        <w:gridCol w:w="1416"/>
        <w:gridCol w:w="1427"/>
      </w:tblGrid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 «Обеспечение жильем молодых семей в Шарангском районе на период 2021-2023 годы».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разработки Программы1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 «Обеспечение жильем молодых семей в Нижегородской области» государственной программы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 апреля 2014 года № 302.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Муниципальный заказчик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разработчики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Основная цель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Государственная поддержка молодых семей Шарангского района в решении жилищной проблемы.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задачи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 Обеспечение финансовой поддержки молодых семей, нуждающихся в жилых помещениях, при рождении детей.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3.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и этапы реализации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Подпрограмма 1 реализуется с 2021 по 2023 годы. 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1 реализуется в 1 этап.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основных мероприятий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 (далее – банк).</w:t>
            </w:r>
          </w:p>
        </w:tc>
      </w:tr>
      <w:tr>
        <w:trPr>
          <w:trHeight w:val="360" w:hRule="atLeast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1"/>
                <w:numId w:val="5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Объемы и источники финансирования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tabs>
                <w:tab w:val="clear" w:pos="709"/>
                <w:tab w:val="left" w:pos="1168" w:leader="none"/>
              </w:tabs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за период реализации Подпрограммы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222,1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550,3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417,3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1248,9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799,5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2201,3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Ежегодные объемы финансирования мероприятий Подпрограммы 1 за счет средств бюджетов всех уровней будут уточняться исходя из возможностей соответствующих бюджетов на плановый период.</w:t>
            </w:r>
          </w:p>
        </w:tc>
      </w:tr>
      <w:tr>
        <w:trPr>
          <w:trHeight w:val="510" w:hRule="atLeast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1.10. Система организации контроля за исполнением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Контроль за исполнением Подпрограммы 1 осуществляет Администрация Шарангского муниципального района.</w:t>
            </w:r>
          </w:p>
        </w:tc>
      </w:tr>
      <w:tr>
        <w:trPr>
          <w:trHeight w:val="510" w:hRule="atLeast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righ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1.11. Индикаторы достижения целей Подпрограммы 1</w:t>
            </w:r>
          </w:p>
        </w:tc>
        <w:tc>
          <w:tcPr>
            <w:tcW w:w="6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Доля молодых семей, обеспеченных жилыми помещениями (от общего количества молодых семей – участников Подпрограммы 1) - 7,9 %. </w:t>
            </w:r>
          </w:p>
        </w:tc>
      </w:tr>
    </w:tbl>
    <w:p>
      <w:pPr>
        <w:pStyle w:val="ConsPlusNormal"/>
        <w:numPr>
          <w:ilvl w:val="0"/>
          <w:numId w:val="0"/>
        </w:numPr>
        <w:ind w:left="0" w:right="0" w:hanging="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5"/>
        </w:numPr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Текст Подпрограммы 1</w:t>
      </w:r>
    </w:p>
    <w:p>
      <w:pPr>
        <w:pStyle w:val="ConsPlusNormal"/>
        <w:ind w:left="0" w:righ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1"/>
          <w:numId w:val="5"/>
        </w:numPr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Содержание проблемы </w:t>
      </w:r>
    </w:p>
    <w:p>
      <w:pPr>
        <w:pStyle w:val="ConsPlusNormal"/>
        <w:ind w:left="0" w:right="0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Реализация мероприятий по обеспечению жильем молодых семей в Шарангском районе демонстрирует ежегодный рост числа молодых семей, желающих получить государственную поддержку в решении жилищной проблемы.</w:t>
      </w:r>
    </w:p>
    <w:p>
      <w:pPr>
        <w:pStyle w:val="ConsPlusNormal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 состоянию на 1 января 2020 года в Шарангском районе состоят на учете в качестве нуждающихся в жилых помещениях в органах местного самоуправления 39 молодых семей.</w:t>
      </w:r>
    </w:p>
    <w:p>
      <w:pPr>
        <w:pStyle w:val="ConsPlusTitle"/>
        <w:widowControl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 xml:space="preserve">В ходе реализации муниципальной программы «Обеспечение граждан Шарангского района доступным и комфортным жильем на период 2018-2020 годы» на территории Шарангского района 4 молодые семьи улучшили свои жилищные условия. 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Однако жилищная проблема в Шарангском районе по-прежнему остается острой, а решение ее - актуальным. Молодежь не менее чем другие возрастные группы населения нуждается в жилье, так как именно в этом возрасте создаются семьи, это наиболее благоприятный детородный возраст. Отсутствие жилья для молодой семьи является главной причиной разводов, ведет к снижению рождаемости, способствует выезду молодежи за пределы района. 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Подпрограмма 1 предусматривает поддержку молодых семей, нуждающихся в улучшении жилищных условий, в целях стимулирования положительных тенденций в изменении демографической ситуации и закрепления молодых семей в Шарангском районе. Кроме того Подпрограммой 1 предусматривается компенсация процентной ставки по кредитам, выданным до 31 декабря 2006 года в рамках районной целевой программы «Молодой семье – доступное жилье».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Cell"/>
        <w:numPr>
          <w:ilvl w:val="1"/>
          <w:numId w:val="5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Цели и задачи Подпрограммы 1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Основной целью Подпрограммы 1 является государственная поддержка молодых семей Шарангского района в решении жилищной проблемы.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Задачами Подпрограммы 1 являются: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Обеспечение финансовой поддержки молодых семей, нуждающихся в жилых помещениях, при рождении детей.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 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Cell"/>
        <w:numPr>
          <w:ilvl w:val="1"/>
          <w:numId w:val="5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Сроки и этапы реализации Подпрограммы 1</w:t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Cel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Реализация Подпрограммы 1 рассчитана на период 2021 - 2023 годы и осуществляется в один этап.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4" w:name="Par3231"/>
      <w:bookmarkStart w:id="5" w:name="Par3231"/>
      <w:bookmarkEnd w:id="5"/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2.4. Система мероприятий Подпрограммы 1</w:t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Система</w:t>
      </w:r>
      <w:r>
        <w:rPr>
          <w:rFonts w:cs="Times New Roman" w:ascii="Times New Roman" w:hAnsi="Times New Roman"/>
          <w:sz w:val="24"/>
          <w:szCs w:val="24"/>
        </w:rPr>
        <w:t xml:space="preserve"> мероприятий Подпрограммы 1 приведена в приложении к настоящей Подпрограмме 1.</w:t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6" w:name="Par3235"/>
      <w:bookmarkEnd w:id="6"/>
      <w:r>
        <w:rPr>
          <w:rFonts w:cs="Times New Roman" w:ascii="Times New Roman" w:hAnsi="Times New Roman"/>
          <w:sz w:val="24"/>
          <w:szCs w:val="24"/>
        </w:rPr>
        <w:t>2.5. Ресурсное обеспечение Подпрограммы 1</w:t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Необходимые расходы на финансирование мероприятий Подпрограммы 1 приведены в таблице 1.</w:t>
      </w:r>
    </w:p>
    <w:p>
      <w:pPr>
        <w:pStyle w:val="ConsPlusNormal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Молодым семьям, взявшим ипотечные кредиты до 31 декабря 2006 года на приобретение жилых помещений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15, за счет областного и местного бюджетов ежемесячно осуществлялась компенсация части процентной ставки. В связи с отменой данной районной целевой программы обязательства областного и местного бюджетов по данной районной целевой программе, связанные с компенсацией части процентной ставки, включены в расходную часть Подпрограммы 1.</w:t>
      </w:r>
    </w:p>
    <w:p>
      <w:pPr>
        <w:pStyle w:val="Normal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Таблица 1</w:t>
      </w:r>
    </w:p>
    <w:p>
      <w:pPr>
        <w:pStyle w:val="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Финансирование мероприятий Подпрограммы 1</w:t>
      </w:r>
    </w:p>
    <w:tbl>
      <w:tblPr>
        <w:tblW w:w="9660" w:type="dxa"/>
        <w:jc w:val="left"/>
        <w:tblInd w:w="7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3060"/>
        <w:gridCol w:w="1335"/>
        <w:gridCol w:w="1275"/>
        <w:gridCol w:w="1276"/>
        <w:gridCol w:w="1276"/>
        <w:gridCol w:w="1437"/>
      </w:tblGrid>
      <w:tr>
        <w:trPr>
          <w:trHeight w:val="72" w:hRule="atLeast"/>
          <w:cantSplit w:val="true"/>
        </w:trPr>
        <w:tc>
          <w:tcPr>
            <w:tcW w:w="3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Задачи</w:t>
            </w:r>
          </w:p>
        </w:tc>
        <w:tc>
          <w:tcPr>
            <w:tcW w:w="6599" w:type="dxa"/>
            <w:gridSpan w:val="5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1.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796,5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2198,3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549,8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1247,4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2.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Задача3.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Подпрограмме 1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799,5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2201,3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222,1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550,3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417,3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1248,9</w:t>
            </w:r>
          </w:p>
        </w:tc>
      </w:tr>
      <w:tr>
        <w:trPr>
          <w:trHeight w:val="72" w:hRule="atLeast"/>
          <w:cantSplit w:val="true"/>
        </w:trPr>
        <w:tc>
          <w:tcPr>
            <w:tcW w:w="306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</w:tbl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Ежегодные объемы финансирования мероприятий Подпрограммы 1 за счет средств бюджетов всех уровней будут уточняться исходя из возможностей соответствующих бюджетов на плановый период.</w:t>
      </w:r>
      <w:bookmarkStart w:id="7" w:name="Par3391"/>
      <w:bookmarkEnd w:id="7"/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2.6. Индикаторы достижения цели Подпрограммы 1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Основные индикаторы достижения цели Подпрограммы 1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66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843"/>
        <w:gridCol w:w="1418"/>
        <w:gridCol w:w="1983"/>
        <w:gridCol w:w="1985"/>
        <w:gridCol w:w="2137"/>
      </w:tblGrid>
      <w:tr>
        <w:trPr/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 целей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Подпрограммы 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Единицы измерения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целей Подпрограммы 1</w:t>
            </w:r>
          </w:p>
        </w:tc>
        <w:tc>
          <w:tcPr>
            <w:tcW w:w="6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Значения индикаторов целей Подпрограммы 1</w:t>
            </w:r>
          </w:p>
        </w:tc>
      </w:tr>
      <w:tr>
        <w:trPr/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 момент разработки Подпрограммы 1 (факт 2019 года)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 окончании реализации Подпрограммы 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Без программного вмешательства (после предполагаемого срока реализации Подпрограммы 1)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Обеспеченность социальными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выплатами молодых семей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7,9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</w:tr>
    </w:tbl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4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Индикаторы достижения цели Подпрограммы 1 рассчитываются как отношение количества молодых семей – участников Подпрограммы, получивших социальные выплаты, к общему количеству* молодых семей – участников Подпрограммы, умноженное на 100%.</w:t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______________________________________________________________</w:t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4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*- на начало реализации Подпрограммы 1</w:t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cs="Times New Roman"/>
        </w:rPr>
      </w:pPr>
      <w:r>
        <w:rPr>
          <w:rFonts w:cs="Times New Roman"/>
        </w:rPr>
      </w:r>
      <w:r>
        <w:br w:type="page"/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4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Основные индикаторы достижения цели Подпрограммы 1 с разбивкой по годам (нарастающим итогом)</w:t>
      </w:r>
    </w:p>
    <w:p>
      <w:pPr>
        <w:pStyle w:val="ConsPlusNormal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66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843"/>
        <w:gridCol w:w="1418"/>
        <w:gridCol w:w="1983"/>
        <w:gridCol w:w="1985"/>
        <w:gridCol w:w="2137"/>
      </w:tblGrid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индикаторов целей Подпрограммы 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Единицы измерения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индикаторов</w:t>
            </w:r>
          </w:p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целей Подпрограммы 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 год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Обеспеченность социальными выплатами молодых семей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5,1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7,9</w:t>
            </w:r>
          </w:p>
        </w:tc>
      </w:tr>
    </w:tbl>
    <w:p>
      <w:pPr>
        <w:pStyle w:val="ConsPlusNormal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2.7. Показатель непосредственного результата</w:t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реализации Подпрограммы 1</w:t>
      </w:r>
    </w:p>
    <w:p>
      <w:pPr>
        <w:pStyle w:val="ConsPlusNormal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9366" w:type="dxa"/>
        <w:jc w:val="left"/>
        <w:tblInd w:w="75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2835"/>
        <w:gridCol w:w="1700"/>
        <w:gridCol w:w="1699"/>
        <w:gridCol w:w="1700"/>
        <w:gridCol w:w="1432"/>
      </w:tblGrid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 год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 год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 год</w:t>
            </w:r>
          </w:p>
        </w:tc>
      </w:tr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Площадь приобретенных жилых помещений,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  <w:rFonts w:cs="Times New Roman" w:ascii="Times New Roman" w:hAnsi="Times New Roman"/>
              </w:rPr>
              <w:instrText> PAGE </w:instrText>
            </w:r>
            <w:r>
              <w:rPr>
                <w:sz w:val="24"/>
                <w:szCs w:val="24"/>
                <w:rFonts w:cs="Times New Roman" w:ascii="Times New Roman" w:hAnsi="Times New Roman"/>
              </w:rPr>
              <w:fldChar w:fldCharType="separate"/>
            </w:r>
            <w:r>
              <w:rPr>
                <w:sz w:val="24"/>
                <w:szCs w:val="24"/>
                <w:rFonts w:cs="Times New Roman" w:ascii="Times New Roman" w:hAnsi="Times New Roman"/>
              </w:rPr>
              <w:t>13</w:t>
            </w:r>
            <w:r>
              <w:rPr>
                <w:sz w:val="24"/>
                <w:szCs w:val="24"/>
                <w:rFonts w:cs="Times New Roman" w:ascii="Times New Roman" w:hAnsi="Times New Roman"/>
              </w:rPr>
              <w:fldChar w:fldCharType="end"/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В. метров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54</w:t>
            </w:r>
          </w:p>
        </w:tc>
      </w:tr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Количество молодых семей, получивших государственную поддержку в решении жилищных проблем, семей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</w:tr>
    </w:tbl>
    <w:p>
      <w:pPr>
        <w:pStyle w:val="ConsPlusNormal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right="0" w:hanging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2.8. Оценка эффективности реализации Подпрограммы 1</w:t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Оценка эффективности реализации Подпрограммы 1 производится ежегодно и определяется с учетом оценки степени достижения плановых значений показателей (индикаторов).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Степень достижения планового значения показателя (индикатора) рассчитывается по следующей формуле: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СД = ЗП</w:t>
      </w:r>
      <w:r>
        <w:rPr>
          <w:sz w:val="24"/>
          <w:szCs w:val="24"/>
          <w:vertAlign w:val="subscript"/>
        </w:rPr>
        <w:t xml:space="preserve">ф </w:t>
      </w:r>
      <w:r>
        <w:rPr>
          <w:sz w:val="24"/>
          <w:szCs w:val="24"/>
        </w:rPr>
        <w:t>/ ЗП</w:t>
      </w:r>
      <w:r>
        <w:rPr>
          <w:sz w:val="24"/>
          <w:szCs w:val="24"/>
          <w:vertAlign w:val="subscript"/>
        </w:rPr>
        <w:t>п</w:t>
      </w:r>
      <w:r>
        <w:rPr>
          <w:sz w:val="24"/>
          <w:szCs w:val="24"/>
        </w:rPr>
        <w:t>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СД</w:t>
      </w:r>
      <w:r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>– степень достижения планового значения показателя (индикатора), характеризующего цели и задачи Подпрограммы 1;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>ф</w:t>
      </w:r>
      <w:r>
        <w:rPr>
          <w:sz w:val="24"/>
          <w:szCs w:val="24"/>
        </w:rPr>
        <w:t xml:space="preserve"> – значение показателя (индикатора), характеризующего цели и задачи Подпрограммы 1, фактически достигнутое на конец отчетного периода;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ЗП</w:t>
      </w:r>
      <w:r>
        <w:rPr>
          <w:sz w:val="24"/>
          <w:szCs w:val="24"/>
          <w:vertAlign w:val="subscript"/>
        </w:rPr>
        <w:t xml:space="preserve">п </w:t>
      </w:r>
      <w:r>
        <w:rPr>
          <w:sz w:val="24"/>
          <w:szCs w:val="24"/>
        </w:rPr>
        <w:t>– плановое значение показателя (индикатора), характеризующего цели и задачи Подпрограммы 1.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Показатель оценки эффективности Подпрограммы 1 признается высоким в случае, если степень достижения планового значения показателя (индикатора) составляет не менее 0,95;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Показатель оценки эффективности Подпрограммы 1 признается средним, если степень достижения планового значения показателя (индикатора) составляет не менее 0,87;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Показатель оценки эффективности Подпрограммы 1 признается удовлетворительным в случае, если степень достижения планового значения показателя (индикатора) составляет не менее 0,80;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В остальных случаях значение показателя оценки эффективности Подпрограммы 1 признается неудовлетворительным.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2.9. Система организации контроля за исполнением Подпрограммы 1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Контроль за исполнением Подпрограммы 1 осуществляет администрация Шарангского муниципального района.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2.10. Заключительные и переходные положения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Молодые семьи - участники районной целевой программы «Обеспечение жильем молодых семей в Шарангском районе Нижегородской области» на период 2011 - 2015 годов, утвержденной постановлением администрации Шарангского района от 18.11.2010 № 127 (далее – Районная целевая программа), а также участники муниципальной  программы ««Обеспечение граждан Шарангского района доступным и комфортным жильем на период 2018-2021 годы»,, утвержденной постановлением администрации Шарангского муниципального района от 22.08.2017 № 420 (далее – муниципальная программа) считаются участниками настоящей Подпрограммы и подлежат включению в списки молодых семей - участников Подпрограммы без предоставления дополнительных документов.</w:t>
      </w:r>
    </w:p>
    <w:p>
      <w:pPr>
        <w:sectPr>
          <w:headerReference w:type="default" r:id="rId5"/>
          <w:type w:val="nextPage"/>
          <w:pgSz w:w="11906" w:h="16838"/>
          <w:pgMar w:left="1418" w:right="850" w:header="930" w:top="987" w:footer="0" w:bottom="653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 подлежат включению в настоящую Подпрограмму 1 молодые семьи - участники муниципальной программы, в которых одному из супругов (обоим супругам) по состоянию на 1 января 2021 года исполнится 36 лет либо оформившие жилищный кредит, в том числе ипотечный, на приобретение жилого помещения или строительство индивидуального жилого дома после 1 января 2011 года.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Подпрограмме 1 «Обеспечение жильем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молодых семей в Шарангском районе </w:t>
      </w:r>
    </w:p>
    <w:p>
      <w:pPr>
        <w:pStyle w:val="ConsPlusNormal"/>
        <w:widowControl w:val="false"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период 2021-2023 годы»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Система мероприятий Подпрограммы 1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566" w:type="dxa"/>
        <w:jc w:val="left"/>
        <w:tblInd w:w="12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990"/>
        <w:gridCol w:w="1559"/>
        <w:gridCol w:w="136"/>
        <w:gridCol w:w="1844"/>
        <w:gridCol w:w="2433"/>
        <w:gridCol w:w="1202"/>
        <w:gridCol w:w="1183"/>
        <w:gridCol w:w="1308"/>
        <w:gridCol w:w="1234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/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3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/>
        <w:tc>
          <w:tcPr>
            <w:tcW w:w="820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Цель Подпрограммы 1: государственная поддержка молодых семей Шарангского района в решении жилищной проблемы.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799,5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2201,3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222,1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550,3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417,3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1248,9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1 Подпрограммы 1: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796,5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2198,3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220,6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549,8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1247,4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Организация информационной и разъяснительной </w:t>
            </w:r>
          </w:p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работы по освещению целей, задач и хода реализации Подпрограммы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учета молодых семей – участников Подпрограммы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Подготовка предложений по объемам средств, необходимых на предоставление социальных выплат за счет средств местного бюджета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Оформление и подача заявок на финансирование Подпрограммы за счет средств областного бюджета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Выдача молодым семьям свидетельств о праве на получение социальной выплаты на приобретение жилого помещения или строительство индивидуального жилого дома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Перечисление социальных выплат молодым семьям – участникам Подпрограммы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 администрация Шарангского муниципального района, банк (по согласованию)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796,5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700,9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700,9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2198,3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160,1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120,5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401,1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220,6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164,6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549,8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415,8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415,8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1247,4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отчетности по реализации Подпрограммы и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расходованию бюджетных средств, направляемых на реализацию Подпрограммы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Ежемесячно, 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2 Подпрограммы 1: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Оформление и подача заявок на финансирование дополнительной социальной выплаты на рождение (усыновление) ребенка за счет средств областного бюджета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Перечисление молодым семьям – участникам Подпрограммы дополнительной выплаты на компенсацию части</w:t>
            </w:r>
          </w:p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затрат на приобретение или строительство жилья в случае рождения (усыновления) ребенка</w:t>
            </w:r>
            <w:r>
              <w:rPr>
                <w:rFonts w:cs="Courier New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 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highlight w:val="yellow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отчетности по расходованию бюджетных средств, направляемых на перечисление дополнительной социальной выплаты на рождение (усыновление) ребенка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3 Подпрограммы 1: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1,5</w:t>
            </w:r>
          </w:p>
        </w:tc>
      </w:tr>
      <w:tr>
        <w:trPr/>
        <w:tc>
          <w:tcPr>
            <w:tcW w:w="820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3,00</w:t>
            </w:r>
          </w:p>
        </w:tc>
      </w:tr>
    </w:tbl>
    <w:p>
      <w:pPr>
        <w:sectPr>
          <w:headerReference w:type="default" r:id="rId6"/>
          <w:type w:val="nextPage"/>
          <w:pgSz w:orient="landscape" w:w="16838" w:h="11906"/>
          <w:pgMar w:left="600" w:right="653" w:header="1134" w:top="1648" w:footer="0" w:bottom="572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>Подпрограмма 2 «Ипотечное жилищное кредитование населения Шарангского района на период 2021-2023 годы»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(далее – Подпрограмма 2)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numPr>
          <w:ilvl w:val="0"/>
          <w:numId w:val="6"/>
        </w:numPr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Паспорт Подпрограммы 2</w:t>
      </w:r>
    </w:p>
    <w:p>
      <w:pPr>
        <w:pStyle w:val="ConsPlusNormal"/>
        <w:numPr>
          <w:ilvl w:val="0"/>
          <w:numId w:val="0"/>
        </w:numPr>
        <w:ind w:left="720" w:firstLine="720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58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679"/>
        <w:gridCol w:w="1335"/>
        <w:gridCol w:w="1186"/>
        <w:gridCol w:w="1320"/>
        <w:gridCol w:w="1370"/>
      </w:tblGrid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0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0" w:hanging="108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 «Ипотечное жилищное кредитование населения Шарангского района на период 2021-2023 годы».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разработки 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Государственная программа «Развитие жилищного строительства и государственная поддержка граждан по обеспечению жильем на территории Нижегородской области», утвержденная постановлением Правительства Нижегородской области от 30 апреля 2014 года № 302.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Муниципальный заказчик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разработчики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Основная цель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Cell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 использованием ипотечного жилищного кредитования. 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Основные задачи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2.</w:t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и этапы реализации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2021 - 2023 годы. </w:t>
            </w:r>
          </w:p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основных мероприятий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Cell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ПАО «Сбербанк» (по согласованию). </w:t>
            </w:r>
          </w:p>
        </w:tc>
      </w:tr>
      <w:tr>
        <w:trPr>
          <w:trHeight w:val="360" w:hRule="atLeast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1"/>
                <w:numId w:val="6"/>
              </w:numPr>
              <w:ind w:left="34" w:hanging="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Объемы и источники финансирования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tabs>
                <w:tab w:val="clear" w:pos="709"/>
                <w:tab w:val="left" w:pos="1593" w:leader="none"/>
              </w:tabs>
              <w:ind w:firstLine="17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14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-108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tabs>
                <w:tab w:val="clear" w:pos="709"/>
                <w:tab w:val="left" w:pos="1188" w:leader="none"/>
              </w:tabs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14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-57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за период реализации Подпрограммы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-572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firstLine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hanging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подпрограмме 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Объемы финансирования Подпрограммы подлежат ежегодной корректировке в соответствии с решением Земского собрания о районном бюджете и законом Нижегородской области об областном бюджете на очередной финансовый год и на плановый период. Подпрограмма закончила действие в части привлечения новых участников Подпрограммы 31 декабря 2011 года. В период 2021 - 2023 годы будет осуществляться компенсация части платежа по ранее выданным ипотечным жилищным кредитам (займам). </w:t>
            </w:r>
          </w:p>
        </w:tc>
      </w:tr>
      <w:tr>
        <w:trPr>
          <w:trHeight w:val="510" w:hRule="atLeast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34" w:firstLine="72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1.10. Система организации контроля за исполнением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Контроль за исполнением Подпрограммы 2 осуществляет Администрация Шарангского муниципального района</w:t>
            </w:r>
          </w:p>
        </w:tc>
      </w:tr>
      <w:tr>
        <w:trPr>
          <w:trHeight w:val="510" w:hRule="atLeast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ind w:left="34" w:firstLine="720"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1.11. Индикаторы достижения целей Подпрограммы 2</w:t>
            </w:r>
          </w:p>
        </w:tc>
        <w:tc>
          <w:tcPr>
            <w:tcW w:w="6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Cel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рассчитываются в связи с тем, что Подпрограмма 2 закончила действие в части привлечения новых участников Подпрограммы 2 31 декабря 2011 года. </w:t>
            </w:r>
          </w:p>
        </w:tc>
      </w:tr>
    </w:tbl>
    <w:p>
      <w:pPr>
        <w:pStyle w:val="ConsPlusNormal"/>
        <w:numPr>
          <w:ilvl w:val="0"/>
          <w:numId w:val="0"/>
        </w:numPr>
        <w:ind w:left="720" w:firstLine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6"/>
        </w:numPr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Текст Подпрограммы 2</w:t>
      </w:r>
    </w:p>
    <w:p>
      <w:pPr>
        <w:pStyle w:val="ConsPlusNormal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1"/>
          <w:numId w:val="6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Содержание проблемы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8" w:name="Par1407"/>
      <w:bookmarkStart w:id="9" w:name="Par1407"/>
      <w:bookmarkEnd w:id="9"/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Подпрограмма 2 закончила действие в части привлечения новых участников Подпрограммы 2 31 декабря 2011 года. В период 2021 - 2023 годы будет осуществляться компенсация части платежа по ранее выданным ипотечным жилищным кредитам (займам).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0" w:name="Par1593"/>
      <w:bookmarkEnd w:id="10"/>
      <w:r>
        <w:rPr>
          <w:rFonts w:cs="Times New Roman" w:ascii="Times New Roman" w:hAnsi="Times New Roman"/>
          <w:sz w:val="24"/>
          <w:szCs w:val="24"/>
        </w:rPr>
        <w:t>2.2. Цели и задачи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Целью Подпрограммы 2 является оказание государственной поддержки гражданам Шарангского района в решении жилищной проблемы с использованием ипотечного жилищного кредитования.</w:t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Задачей Подпрограммы 2 является 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1" w:name="Par1598"/>
      <w:bookmarkEnd w:id="11"/>
      <w:r>
        <w:rPr>
          <w:rFonts w:cs="Times New Roman" w:ascii="Times New Roman" w:hAnsi="Times New Roman"/>
          <w:sz w:val="24"/>
          <w:szCs w:val="24"/>
        </w:rPr>
        <w:t>2.3. Сроки и этапы реализации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Подпрограмма 2 реализуется в 2021 - 2023 годы, в части компенсации части платежа по ранее выданным ипотечным жилищным кредитам (займам).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bookmarkStart w:id="12" w:name="Par1602"/>
      <w:bookmarkStart w:id="13" w:name="Par1602"/>
      <w:bookmarkEnd w:id="13"/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4" w:name="Par1616"/>
      <w:bookmarkEnd w:id="14"/>
      <w:r>
        <w:rPr>
          <w:rFonts w:cs="Times New Roman" w:ascii="Times New Roman" w:hAnsi="Times New Roman"/>
          <w:sz w:val="24"/>
          <w:szCs w:val="24"/>
        </w:rPr>
        <w:t>2.4. Система мероприятий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Система мероприятий Подпрограммы 2 приведена в приложении к Подпрограмме 2.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5" w:name="Par1620"/>
      <w:bookmarkEnd w:id="15"/>
      <w:r>
        <w:rPr>
          <w:rFonts w:cs="Times New Roman" w:ascii="Times New Roman" w:hAnsi="Times New Roman"/>
          <w:sz w:val="24"/>
          <w:szCs w:val="24"/>
        </w:rPr>
        <w:t>2.5. Ресурсное обеспечение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Основными источниками финансирования Подпрограммы 2 являются: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Субсидии областного бюджета.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Средства местного бюджета.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Необходимые расходы на финансирование мероприятий приведены в таблице 1.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ConsPlusNormal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Таблица 1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Финансирование мероприятий Подпрограммы 2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54" w:type="dxa"/>
        <w:jc w:val="left"/>
        <w:tblInd w:w="7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1608"/>
        <w:gridCol w:w="1226"/>
        <w:gridCol w:w="1560"/>
        <w:gridCol w:w="1275"/>
        <w:gridCol w:w="1278"/>
        <w:gridCol w:w="1277"/>
        <w:gridCol w:w="1429"/>
      </w:tblGrid>
      <w:tr>
        <w:trPr>
          <w:trHeight w:val="72" w:hRule="atLeast"/>
          <w:cantSplit w:val="true"/>
        </w:trPr>
        <w:tc>
          <w:tcPr>
            <w:tcW w:w="16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</w:t>
            </w:r>
          </w:p>
        </w:tc>
        <w:tc>
          <w:tcPr>
            <w:tcW w:w="8045" w:type="dxa"/>
            <w:gridSpan w:val="6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ind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>
          <w:trHeight w:val="72" w:hRule="atLeast"/>
          <w:cantSplit w:val="true"/>
        </w:trPr>
        <w:tc>
          <w:tcPr>
            <w:tcW w:w="2834" w:type="dxa"/>
            <w:gridSpan w:val="2"/>
            <w:vMerge w:val="continue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ind w:firstLine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841" w:hRule="atLeast"/>
          <w:cantSplit w:val="true"/>
        </w:trPr>
        <w:tc>
          <w:tcPr>
            <w:tcW w:w="9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ConsPlusNormal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Подпрограмма 2 закончила действие в части привлечения новых участников 1 января 2014 года.</w:t>
            </w:r>
          </w:p>
          <w:p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. В период 2021 - 2023 годов будет осуществляться компенсация части платежа по ранее выданным ипотечным жилищным кредитам (займам).</w:t>
            </w:r>
          </w:p>
        </w:tc>
      </w:tr>
    </w:tbl>
    <w:p>
      <w:pPr>
        <w:pStyle w:val="ConsPlusNormal"/>
        <w:ind w:firstLine="54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Объемы финансирования Подпрограммы 2 подлежат ежегодной корректировке в соответствии с решением Земского собрания о районном бюджете и законом Нижегородской области об областном бюджете на очередной финансовый год и на плановый период.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6" w:name="Par1824"/>
      <w:bookmarkEnd w:id="16"/>
      <w:r>
        <w:rPr>
          <w:rFonts w:cs="Times New Roman" w:ascii="Times New Roman" w:hAnsi="Times New Roman"/>
          <w:sz w:val="24"/>
          <w:szCs w:val="24"/>
        </w:rPr>
        <w:t>2.6. Индикаторы достижения цели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bookmarkStart w:id="17" w:name="Par1826"/>
      <w:bookmarkEnd w:id="17"/>
      <w:r>
        <w:rPr>
          <w:rFonts w:cs="Times New Roman" w:ascii="Times New Roman" w:hAnsi="Times New Roman"/>
          <w:sz w:val="24"/>
          <w:szCs w:val="24"/>
        </w:rPr>
        <w:t>Не рассчитываются в связи с тем, что Подпрограмма 2 завершила действие в части привлечения новых участников Подпрограммы 2 1 января 2014 года.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8" w:name="Par1830"/>
      <w:bookmarkEnd w:id="18"/>
      <w:r>
        <w:rPr>
          <w:rFonts w:cs="Times New Roman" w:ascii="Times New Roman" w:hAnsi="Times New Roman"/>
          <w:sz w:val="24"/>
          <w:szCs w:val="24"/>
        </w:rPr>
        <w:t>2.7. Показатели непосредственных результатов</w:t>
      </w:r>
    </w:p>
    <w:p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реализации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 рассчитываются в связи с тем, что Подпрограмма 2 завершила действие в части привлечения новых участников Подпрограммы 2 1 января 2014 года.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19" w:name="Par1835"/>
      <w:bookmarkEnd w:id="19"/>
      <w:r>
        <w:rPr>
          <w:rFonts w:cs="Times New Roman" w:ascii="Times New Roman" w:hAnsi="Times New Roman"/>
          <w:sz w:val="24"/>
          <w:szCs w:val="24"/>
        </w:rPr>
        <w:t>2.8. Оценка эффективности реализации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Не рассчитывается в связи с тем, что Подпрограмма 2 завершила действие в части привлечения новых участников Подпрограммы 2 1 января 2014 года.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firstLine="720"/>
        <w:jc w:val="center"/>
        <w:outlineLvl w:val="3"/>
        <w:rPr>
          <w:rFonts w:ascii="Times New Roman" w:hAnsi="Times New Roman"/>
          <w:sz w:val="24"/>
          <w:szCs w:val="24"/>
        </w:rPr>
      </w:pPr>
      <w:bookmarkStart w:id="20" w:name="Par1844"/>
      <w:bookmarkStart w:id="21" w:name="Par1839"/>
      <w:bookmarkEnd w:id="20"/>
      <w:bookmarkEnd w:id="21"/>
      <w:r>
        <w:rPr>
          <w:rFonts w:cs="Times New Roman" w:ascii="Times New Roman" w:hAnsi="Times New Roman"/>
          <w:sz w:val="24"/>
          <w:szCs w:val="24"/>
        </w:rPr>
        <w:t>2.10. Система организации и контроля</w:t>
      </w:r>
    </w:p>
    <w:p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 исполнением Подпрограммы 2</w:t>
      </w:r>
    </w:p>
    <w:p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headerReference w:type="default" r:id="rId7"/>
          <w:type w:val="nextPage"/>
          <w:pgSz w:w="11906" w:h="16838"/>
          <w:pgMar w:left="1418" w:right="850" w:header="930" w:top="987" w:footer="0" w:bottom="653" w:gutter="0"/>
          <w:pgNumType w:fmt="decimal"/>
          <w:formProt w:val="false"/>
          <w:textDirection w:val="lrTb"/>
          <w:docGrid w:type="default" w:linePitch="360" w:charSpace="24576"/>
        </w:sect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Контроль за исполнением Подпрограммы 2 осуществляет администрация Шарангского муниципального района.</w:t>
      </w:r>
    </w:p>
    <w:p>
      <w:pPr>
        <w:pStyle w:val="ConsPlusNormal"/>
        <w:widowControl w:val="false"/>
        <w:ind w:left="9921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</w:t>
      </w:r>
    </w:p>
    <w:p>
      <w:pPr>
        <w:pStyle w:val="ConsPlusNormal"/>
        <w:widowControl w:val="false"/>
        <w:ind w:left="9921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Подпрограмме 2 «Обеспечение жильем</w:t>
      </w:r>
    </w:p>
    <w:p>
      <w:pPr>
        <w:pStyle w:val="ConsPlusNormal"/>
        <w:widowControl w:val="false"/>
        <w:ind w:left="9921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молодых семей в Шарангском районе </w:t>
      </w:r>
    </w:p>
    <w:p>
      <w:pPr>
        <w:pStyle w:val="ConsPlusNormal"/>
        <w:widowControl w:val="false"/>
        <w:ind w:left="9921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период 2021-2023 годы»</w:t>
      </w:r>
    </w:p>
    <w:p>
      <w:pPr>
        <w:pStyle w:val="ConsPlusNormal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4"/>
          <w:szCs w:val="24"/>
        </w:rPr>
      </w:pPr>
      <w:bookmarkStart w:id="22" w:name="Par1858"/>
      <w:bookmarkEnd w:id="22"/>
      <w:r>
        <w:rPr>
          <w:rFonts w:cs="Times New Roman" w:ascii="Times New Roman" w:hAnsi="Times New Roman"/>
          <w:sz w:val="24"/>
          <w:szCs w:val="24"/>
        </w:rPr>
        <w:t>Система мероприятий Подпрограммы 2</w:t>
      </w:r>
    </w:p>
    <w:p>
      <w:pPr>
        <w:pStyle w:val="ConsPlusNormal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540" w:type="dxa"/>
        <w:jc w:val="left"/>
        <w:tblInd w:w="151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824"/>
        <w:gridCol w:w="1470"/>
        <w:gridCol w:w="3225"/>
        <w:gridCol w:w="2612"/>
        <w:gridCol w:w="962"/>
        <w:gridCol w:w="976"/>
        <w:gridCol w:w="841"/>
        <w:gridCol w:w="968"/>
      </w:tblGrid>
      <w:tr>
        <w:trPr/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/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Исполнители мероприятий</w:t>
            </w:r>
          </w:p>
        </w:tc>
        <w:tc>
          <w:tcPr>
            <w:tcW w:w="63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финансирования, тыс.руб.</w:t>
            </w:r>
          </w:p>
        </w:tc>
      </w:tr>
      <w:tr>
        <w:trPr/>
        <w:tc>
          <w:tcPr>
            <w:tcW w:w="917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Цель Подпрограммы 2: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 использованием ипотечного жилищного кредитования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917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Задача Подпрограммы 2: 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 2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9179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nformat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Оформление и подача заявок на получение субсидий областного бюджета на реализацию мероприятий Подпрограммы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Зачисление на счета граждан –участников социальной (льготной) ипотеки компенсации части ежемесячного платежа, включающего суммы в погашение основного долга и процентов за пользование ипотечным кредитом (займом)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Администрация Шарангского муниципального района, Финансовое управление администрации Шарангского муниципального района</w:t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102,8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20,08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122,88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51,4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61,44</w:t>
            </w:r>
          </w:p>
        </w:tc>
      </w:tr>
      <w:tr>
        <w:trPr/>
        <w:tc>
          <w:tcPr>
            <w:tcW w:w="6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</w:tbl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headerReference w:type="default" r:id="rId8"/>
      <w:type w:val="nextPage"/>
      <w:pgSz w:orient="landscape" w:w="16838" w:h="11906"/>
      <w:pgMar w:left="600" w:right="653" w:header="1134" w:top="1648" w:footer="0" w:bottom="572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14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19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22</w:t>
    </w:r>
    <w:r>
      <w:rPr/>
      <w:fldChar w:fldCharType="end"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4">
    <w:lvl w:ilvl="0">
      <w:start w:val="1"/>
      <w:numFmt w:val="decimal"/>
      <w:lvlText w:val="%1."/>
      <w:lvlJc w:val="left"/>
      <w:pPr>
        <w:ind w:left="1410" w:hanging="870"/>
      </w:pPr>
    </w:lvl>
    <w:lvl w:ilvl="1">
      <w:start w:val="9"/>
      <w:numFmt w:val="decimal"/>
      <w:lvlText w:val="%1.%2."/>
      <w:lvlJc w:val="left"/>
      <w:pPr>
        <w:ind w:left="1260" w:hanging="720"/>
      </w:pPr>
    </w:lvl>
    <w:lvl w:ilvl="2">
      <w:start w:val="1"/>
      <w:numFmt w:val="decimal"/>
      <w:lvlText w:val="%1.%2.%3."/>
      <w:lvlJc w:val="left"/>
      <w:pPr>
        <w:ind w:left="1260" w:hanging="720"/>
      </w:pPr>
    </w:lvl>
    <w:lvl w:ilvl="3">
      <w:start w:val="1"/>
      <w:numFmt w:val="decimal"/>
      <w:lvlText w:val="%1.%2.%3.%4."/>
      <w:lvlJc w:val="left"/>
      <w:pPr>
        <w:ind w:left="1620" w:hanging="1080"/>
      </w:pPr>
    </w:lvl>
    <w:lvl w:ilvl="4">
      <w:start w:val="1"/>
      <w:numFmt w:val="decimal"/>
      <w:lvlText w:val="%1.%2.%3.%4.%5."/>
      <w:lvlJc w:val="left"/>
      <w:pPr>
        <w:ind w:left="1620" w:hanging="1080"/>
      </w:pPr>
    </w:lvl>
    <w:lvl w:ilvl="5">
      <w:start w:val="1"/>
      <w:numFmt w:val="decimal"/>
      <w:lvlText w:val="%1.%2.%3.%4.%5.%6."/>
      <w:lvlJc w:val="left"/>
      <w:pPr>
        <w:ind w:left="1980" w:hanging="1440"/>
      </w:pPr>
    </w:lvl>
    <w:lvl w:ilvl="6">
      <w:start w:val="1"/>
      <w:numFmt w:val="decimal"/>
      <w:lvlText w:val="%1.%2.%3.%4.%5.%6.%7."/>
      <w:lvlJc w:val="left"/>
      <w:pPr>
        <w:ind w:left="2340" w:hanging="1800"/>
      </w:pPr>
    </w:lvl>
    <w:lvl w:ilvl="7">
      <w:start w:val="1"/>
      <w:numFmt w:val="decimal"/>
      <w:lvlText w:val="%1.%2.%3.%4.%5.%6.%7.%8."/>
      <w:lvlJc w:val="left"/>
      <w:pPr>
        <w:ind w:left="2340" w:hanging="1800"/>
      </w:pPr>
    </w:lvl>
    <w:lvl w:ilvl="8">
      <w:start w:val="1"/>
      <w:numFmt w:val="decimal"/>
      <w:lvlText w:val="%1.%2.%3.%4.%5.%6.%7.%8.%9."/>
      <w:lvlJc w:val="left"/>
      <w:pPr>
        <w:ind w:left="2700" w:hanging="216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cs="Times New Roman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sz w:val="24"/>
        <w:szCs w:val="24"/>
        <w:rFonts w:cs="Times New Roman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sz w:val="24"/>
        <w:szCs w:val="24"/>
        <w:rFonts w:cs="Times New Roman"/>
      </w:rPr>
    </w:lvl>
    <w:lvl w:ilvl="3">
      <w:start w:val="1"/>
      <w:numFmt w:val="decimal"/>
      <w:lvlText w:val="%1.%2.%3.%4."/>
      <w:lvlJc w:val="left"/>
      <w:pPr>
        <w:ind w:left="1440" w:hanging="1080"/>
      </w:pPr>
      <w:rPr>
        <w:sz w:val="24"/>
        <w:szCs w:val="24"/>
        <w:rFonts w:cs="Times New Roman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sz w:val="24"/>
        <w:szCs w:val="24"/>
        <w:rFonts w:cs="Times New Roman"/>
      </w:rPr>
    </w:lvl>
    <w:lvl w:ilvl="5">
      <w:start w:val="1"/>
      <w:numFmt w:val="decimal"/>
      <w:lvlText w:val="%1.%2.%3.%4.%5.%6."/>
      <w:lvlJc w:val="left"/>
      <w:pPr>
        <w:ind w:left="1800" w:hanging="1440"/>
      </w:pPr>
      <w:rPr>
        <w:sz w:val="24"/>
        <w:szCs w:val="24"/>
        <w:rFonts w:cs="Times New Roman"/>
      </w:rPr>
    </w:lvl>
    <w:lvl w:ilvl="6">
      <w:start w:val="1"/>
      <w:numFmt w:val="decimal"/>
      <w:lvlText w:val="%1.%2.%3.%4.%5.%6.%7."/>
      <w:lvlJc w:val="left"/>
      <w:pPr>
        <w:ind w:left="2160" w:hanging="1800"/>
      </w:pPr>
      <w:rPr>
        <w:sz w:val="24"/>
        <w:szCs w:val="24"/>
        <w:rFonts w:cs="Times New Roman"/>
      </w:rPr>
    </w:lvl>
    <w:lvl w:ilvl="7">
      <w:start w:val="1"/>
      <w:numFmt w:val="decimal"/>
      <w:lvlText w:val="%1.%2.%3.%4.%5.%6.%7.%8."/>
      <w:lvlJc w:val="left"/>
      <w:pPr>
        <w:ind w:left="2160" w:hanging="1800"/>
      </w:pPr>
      <w:rPr>
        <w:sz w:val="24"/>
        <w:szCs w:val="24"/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520" w:hanging="2160"/>
      </w:pPr>
      <w:rPr>
        <w:sz w:val="24"/>
        <w:szCs w:val="24"/>
        <w:rFonts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="Times New Roman" w:cs="Times New Roman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ind w:left="1440" w:hanging="108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eastAsia="Times New Roman" w:cs="Times New Roman"/>
      </w:rPr>
    </w:lvl>
    <w:lvl w:ilvl="5">
      <w:start w:val="1"/>
      <w:numFmt w:val="decimal"/>
      <w:lvlText w:val="%1.%2.%3.%4.%5.%6."/>
      <w:lvlJc w:val="left"/>
      <w:pPr>
        <w:ind w:left="1800" w:hanging="1440"/>
      </w:pPr>
      <w:rPr>
        <w:rFonts w:eastAsia="Times New Roman" w:cs="Times New Roman"/>
      </w:rPr>
    </w:lvl>
    <w:lvl w:ilvl="6">
      <w:start w:val="1"/>
      <w:numFmt w:val="decimal"/>
      <w:lvlText w:val="%1.%2.%3.%4.%5.%6.%7."/>
      <w:lvlJc w:val="left"/>
      <w:pPr>
        <w:ind w:left="2160" w:hanging="1800"/>
      </w:pPr>
      <w:rPr>
        <w:rFonts w:eastAsia="Times New Roman" w:cs="Times New Roman"/>
      </w:rPr>
    </w:lvl>
    <w:lvl w:ilvl="7">
      <w:start w:val="1"/>
      <w:numFmt w:val="decimal"/>
      <w:lvlText w:val="%1.%2.%3.%4.%5.%6.%7.%8."/>
      <w:lvlJc w:val="left"/>
      <w:pPr>
        <w:ind w:left="2160" w:hanging="1800"/>
      </w:pPr>
      <w:rPr>
        <w:rFonts w:eastAsia="Times New Roman" w:cs="Times New Roman"/>
      </w:rPr>
    </w:lvl>
    <w:lvl w:ilvl="8">
      <w:start w:val="1"/>
      <w:numFmt w:val="decimal"/>
      <w:lvlText w:val="%1.%2.%3.%4.%5.%6.%7.%8.%9."/>
      <w:lvlJc w:val="left"/>
      <w:pPr>
        <w:ind w:left="2520" w:hanging="2160"/>
      </w:pPr>
      <w:rPr>
        <w:rFonts w:eastAsia="Times New Roman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WW8Num24z0">
    <w:name w:val="WW8Num24z0"/>
    <w:qFormat/>
    <w:rPr>
      <w:rFonts w:ascii="Times New Roman" w:hAnsi="Times New Roman" w:cs="Times New Roman"/>
      <w:sz w:val="24"/>
      <w:szCs w:val="24"/>
    </w:rPr>
  </w:style>
  <w:style w:type="character" w:styleId="Style13">
    <w:name w:val="Основной шрифт абзаца"/>
    <w:qFormat/>
    <w:rPr/>
  </w:style>
  <w:style w:type="character" w:styleId="Style14">
    <w:name w:val="Номер страницы"/>
    <w:basedOn w:val="Style13"/>
    <w:rPr/>
  </w:style>
  <w:style w:type="paragraph" w:styleId="Style15" w:customStyle="1">
    <w:name w:val="Заголовок"/>
    <w:basedOn w:val="Normal"/>
    <w:next w:val="Style16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5234d"/>
    <w:pPr/>
    <w:rPr>
      <w:rFonts w:cs="Mangal"/>
    </w:rPr>
  </w:style>
  <w:style w:type="paragraph" w:styleId="Style18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20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5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Cell">
    <w:name w:val="ConsPlusCel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2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2"/>
      <w:sz w:val="20"/>
      <w:szCs w:val="20"/>
      <w:lang w:val="ru-RU" w:eastAsia="zh-CN" w:bidi="ar-SA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2"/>
      <w:sz w:val="20"/>
      <w:szCs w:val="20"/>
      <w:lang w:val="ru-RU" w:eastAsia="zh-CN" w:bidi="ar-SA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3">
    <w:name w:val="WW8Num13"/>
    <w:qFormat/>
  </w:style>
  <w:style w:type="numbering" w:styleId="WW8Num2">
    <w:name w:val="WW8Num2"/>
    <w:qFormat/>
  </w:style>
  <w:style w:type="numbering" w:styleId="WW8Num24">
    <w:name w:val="WW8Num24"/>
    <w:qFormat/>
  </w:style>
  <w:style w:type="numbering" w:styleId="WW8Num4">
    <w:name w:val="WW8Num4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header" Target="header6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Application>LibreOffice/6.4.4.2$Windows_x86 LibreOffice_project/3d775be2011f3886db32dfd395a6a6d1ca2630ff</Application>
  <Pages>24</Pages>
  <Words>4751</Words>
  <Characters>32186</Characters>
  <CharactersWithSpaces>35677</CharactersWithSpaces>
  <Paragraphs>1283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2020-07-31T16:09:33Z</cp:lastPrinted>
  <dcterms:modified xsi:type="dcterms:W3CDTF">2020-07-31T16:10:02Z</dcterms:modified>
  <cp:revision>88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