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olor w:val="auto"/>
        </w:rPr>
      </w:pPr>
      <w:r>
        <w:rPr>
          <w:rFonts w:ascii="Times New Roman" w:hAnsi="Times New Roman"/>
          <w:color w:val="auto"/>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rFonts w:ascii="Times New Roman" w:hAnsi="Times New Roman"/>
          <w:b/>
          <w:b/>
          <w:color w:val="auto"/>
          <w:kern w:val="2"/>
          <w:sz w:val="32"/>
        </w:rPr>
      </w:pPr>
      <w:r>
        <w:rPr>
          <w:rFonts w:ascii="Times New Roman" w:hAnsi="Times New Roman"/>
          <w:b/>
          <w:color w:val="auto"/>
          <w:kern w:val="2"/>
          <w:sz w:val="32"/>
        </w:rPr>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 xml:space="preserve">АДМИНИСТРАЦИЯ </w:t>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ШАРАНГСКОГО МУНИЦИПАЛЬНОГО РАЙОНА</w:t>
      </w:r>
    </w:p>
    <w:p>
      <w:pPr>
        <w:pStyle w:val="1"/>
        <w:numPr>
          <w:ilvl w:val="0"/>
          <w:numId w:val="2"/>
        </w:numPr>
        <w:rPr>
          <w:rFonts w:ascii="Times New Roman" w:hAnsi="Times New Roman"/>
          <w:color w:val="auto"/>
        </w:rPr>
      </w:pPr>
      <w:r>
        <w:rPr>
          <w:rFonts w:ascii="Times New Roman" w:hAnsi="Times New Roman"/>
          <w:color w:val="auto"/>
          <w:sz w:val="28"/>
          <w:szCs w:val="28"/>
        </w:rPr>
        <w:t>НИЖЕГОРОДСКОЙ ОБЛАСТИ</w:t>
      </w:r>
    </w:p>
    <w:p>
      <w:pPr>
        <w:pStyle w:val="1"/>
        <w:numPr>
          <w:ilvl w:val="0"/>
          <w:numId w:val="2"/>
        </w:numPr>
        <w:rPr>
          <w:rFonts w:ascii="Times New Roman" w:hAnsi="Times New Roman"/>
          <w:color w:val="auto"/>
          <w:spacing w:val="60"/>
          <w:sz w:val="28"/>
          <w:szCs w:val="28"/>
        </w:rPr>
      </w:pPr>
      <w:r>
        <w:rPr>
          <w:rFonts w:ascii="Times New Roman" w:hAnsi="Times New Roman"/>
          <w:color w:val="auto"/>
          <w:spacing w:val="60"/>
          <w:sz w:val="28"/>
          <w:szCs w:val="28"/>
        </w:rPr>
      </w:r>
    </w:p>
    <w:p>
      <w:pPr>
        <w:pStyle w:val="1"/>
        <w:numPr>
          <w:ilvl w:val="0"/>
          <w:numId w:val="2"/>
        </w:numPr>
        <w:ind w:left="142" w:hanging="142"/>
        <w:rPr>
          <w:rFonts w:ascii="Times New Roman" w:hAnsi="Times New Roman"/>
          <w:color w:val="auto"/>
        </w:rPr>
      </w:pPr>
      <w:r>
        <w:rPr>
          <w:rFonts w:ascii="Times New Roman" w:hAnsi="Times New Roman"/>
          <w:color w:val="auto"/>
          <w:spacing w:val="60"/>
          <w:sz w:val="28"/>
          <w:szCs w:val="28"/>
        </w:rPr>
        <w:t>ПОСТАНОВЛЕНИЕ</w:t>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tabs>
          <w:tab w:val="clear" w:pos="709"/>
          <w:tab w:val="left" w:pos="8789" w:leader="none"/>
        </w:tabs>
        <w:rPr>
          <w:rFonts w:ascii="Times New Roman" w:hAnsi="Times New Roman"/>
          <w:color w:val="auto"/>
        </w:rPr>
      </w:pPr>
      <w:r>
        <w:rPr>
          <w:rFonts w:ascii="Times New Roman" w:hAnsi="Times New Roman"/>
          <w:color w:val="auto"/>
          <w:sz w:val="28"/>
          <w:szCs w:val="28"/>
        </w:rPr>
        <w:t xml:space="preserve">от </w:t>
      </w:r>
      <w:r>
        <w:rPr>
          <w:rFonts w:ascii="Times New Roman" w:hAnsi="Times New Roman"/>
          <w:color w:val="auto"/>
          <w:sz w:val="28"/>
          <w:szCs w:val="28"/>
        </w:rPr>
        <w:t>05</w:t>
      </w:r>
      <w:r>
        <w:rPr>
          <w:rFonts w:ascii="Times New Roman" w:hAnsi="Times New Roman"/>
          <w:color w:val="auto"/>
          <w:sz w:val="28"/>
          <w:szCs w:val="28"/>
        </w:rPr>
        <w:t>.0</w:t>
      </w:r>
      <w:r>
        <w:rPr>
          <w:rFonts w:ascii="Times New Roman" w:hAnsi="Times New Roman"/>
          <w:color w:val="auto"/>
          <w:sz w:val="28"/>
          <w:szCs w:val="28"/>
        </w:rPr>
        <w:t>6</w:t>
      </w:r>
      <w:r>
        <w:rPr>
          <w:rFonts w:ascii="Times New Roman" w:hAnsi="Times New Roman"/>
          <w:color w:val="auto"/>
          <w:sz w:val="28"/>
          <w:szCs w:val="28"/>
        </w:rPr>
        <w:t>.20</w:t>
      </w:r>
      <w:r>
        <w:rPr>
          <w:rFonts w:eastAsia="Times New Roman" w:cs="Times New Roman" w:ascii="Times New Roman" w:hAnsi="Times New Roman"/>
          <w:color w:val="auto"/>
          <w:kern w:val="0"/>
          <w:sz w:val="28"/>
          <w:szCs w:val="28"/>
          <w:lang w:val="ru-RU" w:eastAsia="zh-CN" w:bidi="ar-SA"/>
        </w:rPr>
        <w:t>20</w:t>
      </w:r>
      <w:r>
        <w:rPr>
          <w:rFonts w:ascii="Times New Roman" w:hAnsi="Times New Roman"/>
          <w:color w:val="auto"/>
          <w:sz w:val="28"/>
          <w:szCs w:val="28"/>
        </w:rPr>
        <w:tab/>
      </w:r>
      <w:r>
        <w:rPr>
          <w:rFonts w:ascii="Times New Roman" w:hAnsi="Times New Roman"/>
          <w:color w:val="auto"/>
          <w:sz w:val="28"/>
          <w:szCs w:val="28"/>
          <w:lang w:val="en-US"/>
        </w:rPr>
        <w:t>N</w:t>
      </w:r>
      <w:r>
        <w:rPr>
          <w:rFonts w:ascii="Times New Roman" w:hAnsi="Times New Roman"/>
          <w:color w:val="auto"/>
          <w:sz w:val="28"/>
          <w:szCs w:val="28"/>
        </w:rPr>
        <w:t xml:space="preserve"> </w:t>
      </w:r>
      <w:r>
        <w:rPr>
          <w:rFonts w:ascii="Times New Roman" w:hAnsi="Times New Roman"/>
          <w:color w:val="auto"/>
          <w:sz w:val="28"/>
          <w:szCs w:val="28"/>
        </w:rPr>
        <w:t>246</w:t>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widowControl/>
        <w:suppressAutoHyphens w:val="true"/>
        <w:overflowPunct w:val="true"/>
        <w:bidi w:val="0"/>
        <w:spacing w:before="0" w:after="0"/>
        <w:ind w:left="1077" w:right="1020" w:hanging="0"/>
        <w:jc w:val="center"/>
        <w:rPr>
          <w:rFonts w:ascii="Times New Roman" w:hAnsi="Times New Roman"/>
          <w:color w:val="auto"/>
        </w:rPr>
      </w:pPr>
      <w:r>
        <w:rPr>
          <w:rFonts w:ascii="Times New Roman" w:hAnsi="Times New Roman"/>
          <w:b/>
          <w:bCs/>
          <w:color w:val="auto"/>
          <w:sz w:val="28"/>
          <w:szCs w:val="28"/>
        </w:rPr>
        <w:t>Об утверждении Административного регламента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spacing w:lineRule="auto" w:line="360"/>
        <w:ind w:left="0" w:right="0" w:firstLine="709"/>
        <w:jc w:val="both"/>
        <w:rPr>
          <w:rFonts w:ascii="Times New Roman" w:hAnsi="Times New Roman"/>
          <w:color w:val="auto"/>
        </w:rPr>
      </w:pPr>
      <w:r>
        <w:rPr>
          <w:rFonts w:ascii="Times New Roman" w:hAnsi="Times New Roman"/>
          <w:color w:val="auto"/>
          <w:sz w:val="28"/>
          <w:szCs w:val="28"/>
        </w:rPr>
        <w:t xml:space="preserve">В целях повышения качества исполнения и доступности муниципальных услуг, в соответствии с Федеральным </w:t>
      </w:r>
      <w:r>
        <w:rPr>
          <w:rFonts w:ascii="Times New Roman" w:hAnsi="Times New Roman"/>
          <w:color w:val="auto"/>
          <w:sz w:val="28"/>
          <w:szCs w:val="28"/>
        </w:rPr>
        <w:t>законом</w:t>
      </w:r>
      <w:r>
        <w:rPr>
          <w:rFonts w:ascii="Times New Roman" w:hAnsi="Times New Roman"/>
          <w:color w:val="auto"/>
          <w:sz w:val="28"/>
          <w:szCs w:val="28"/>
        </w:rPr>
        <w:t xml:space="preserve">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left="0" w:right="0" w:hanging="0"/>
        <w:jc w:val="both"/>
        <w:rPr>
          <w:rFonts w:ascii="Times New Roman" w:hAnsi="Times New Roman"/>
          <w:color w:val="auto"/>
        </w:rPr>
      </w:pPr>
      <w:r>
        <w:rPr>
          <w:rFonts w:ascii="Times New Roman" w:hAnsi="Times New Roman"/>
          <w:b/>
          <w:color w:val="auto"/>
          <w:sz w:val="28"/>
          <w:szCs w:val="28"/>
        </w:rPr>
        <w:t>п о с т а н о в л я е т:</w:t>
      </w:r>
    </w:p>
    <w:p>
      <w:pPr>
        <w:pStyle w:val="111"/>
        <w:spacing w:lineRule="auto" w:line="360"/>
        <w:ind w:left="0" w:right="0" w:firstLine="709"/>
        <w:rPr>
          <w:rFonts w:ascii="Times New Roman" w:hAnsi="Times New Roman"/>
          <w:color w:val="auto"/>
        </w:rPr>
      </w:pPr>
      <w:r>
        <w:rPr>
          <w:rFonts w:ascii="Times New Roman" w:hAnsi="Times New Roman"/>
          <w:color w:val="auto"/>
          <w:sz w:val="28"/>
          <w:szCs w:val="28"/>
        </w:rPr>
        <w:t xml:space="preserve">1. Утвердить прилагаемый административный </w:t>
      </w:r>
      <w:r>
        <w:rPr>
          <w:rFonts w:ascii="Times New Roman" w:hAnsi="Times New Roman"/>
          <w:color w:val="auto"/>
          <w:sz w:val="28"/>
          <w:szCs w:val="28"/>
        </w:rPr>
        <w:t>регламент</w:t>
      </w:r>
      <w:r>
        <w:rPr>
          <w:rFonts w:ascii="Times New Roman" w:hAnsi="Times New Roman"/>
          <w:color w:val="auto"/>
          <w:sz w:val="28"/>
          <w:szCs w:val="28"/>
        </w:rPr>
        <w:t xml:space="preserve">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111"/>
        <w:spacing w:lineRule="auto" w:line="360"/>
        <w:ind w:left="0" w:right="0" w:firstLine="709"/>
        <w:rPr>
          <w:rFonts w:ascii="Times New Roman" w:hAnsi="Times New Roman"/>
          <w:color w:val="auto"/>
          <w:sz w:val="28"/>
          <w:szCs w:val="28"/>
        </w:rPr>
      </w:pPr>
      <w:r>
        <w:rPr>
          <w:rFonts w:ascii="Times New Roman" w:hAnsi="Times New Roman"/>
          <w:color w:val="auto"/>
          <w:sz w:val="28"/>
          <w:szCs w:val="28"/>
        </w:rPr>
        <w:t>2. Признать утратившими силу постановление администрации Шарангского муниципального района от 27.09.2017г № 492 «Об утверждении административного регламента администрации Шарангского муниципального района Нижегородской области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111"/>
        <w:spacing w:lineRule="auto" w:line="360"/>
        <w:ind w:left="0" w:right="0" w:firstLine="709"/>
        <w:jc w:val="both"/>
        <w:rPr>
          <w:rFonts w:ascii="Times New Roman" w:hAnsi="Times New Roman"/>
          <w:color w:val="auto"/>
          <w:sz w:val="28"/>
          <w:szCs w:val="28"/>
        </w:rPr>
      </w:pPr>
      <w:r>
        <w:rPr>
          <w:rFonts w:cs="Times New Roman" w:ascii="Times New Roman" w:hAnsi="Times New Roman"/>
          <w:b w:val="false"/>
          <w:color w:val="auto"/>
          <w:sz w:val="28"/>
          <w:szCs w:val="28"/>
        </w:rPr>
        <w:t>3.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Normal"/>
        <w:tabs>
          <w:tab w:val="clear" w:pos="709"/>
          <w:tab w:val="left" w:pos="8220" w:leader="none"/>
        </w:tabs>
        <w:jc w:val="both"/>
        <w:rPr>
          <w:rFonts w:ascii="Times New Roman" w:hAnsi="Times New Roman"/>
          <w:color w:val="auto"/>
        </w:rPr>
      </w:pPr>
      <w:r>
        <w:rPr>
          <w:rFonts w:ascii="Times New Roman" w:hAnsi="Times New Roman"/>
          <w:color w:val="auto"/>
          <w:sz w:val="28"/>
          <w:szCs w:val="28"/>
        </w:rPr>
        <w:t>Глава администрации</w:t>
        <w:tab/>
        <w:t>О.Л.Зыков</w:t>
      </w:r>
      <w:r>
        <w:br w:type="page"/>
      </w:r>
    </w:p>
    <w:p>
      <w:pPr>
        <w:pStyle w:val="ConsPlusNormal"/>
        <w:widowControl w:val="false"/>
        <w:suppressAutoHyphens w:val="true"/>
        <w:overflowPunct w:val="true"/>
        <w:bidi w:val="0"/>
        <w:spacing w:lineRule="auto" w:line="240" w:before="0" w:after="0"/>
        <w:ind w:left="4535" w:right="0" w:hanging="0"/>
        <w:jc w:val="center"/>
        <w:rPr>
          <w:rFonts w:ascii="Times New Roman" w:hAnsi="Times New Roman"/>
          <w:color w:val="auto"/>
          <w:sz w:val="24"/>
          <w:szCs w:val="24"/>
        </w:rPr>
      </w:pPr>
      <w:r>
        <w:rPr>
          <w:rFonts w:ascii="Times New Roman" w:hAnsi="Times New Roman"/>
          <w:color w:val="auto"/>
          <w:sz w:val="24"/>
          <w:szCs w:val="24"/>
        </w:rPr>
        <w:t>Утвержден</w:t>
      </w:r>
    </w:p>
    <w:p>
      <w:pPr>
        <w:pStyle w:val="ConsPlusNormal"/>
        <w:widowControl w:val="false"/>
        <w:suppressAutoHyphens w:val="true"/>
        <w:overflowPunct w:val="true"/>
        <w:bidi w:val="0"/>
        <w:spacing w:lineRule="auto" w:line="240" w:before="0" w:after="0"/>
        <w:ind w:left="4535" w:right="0" w:hanging="0"/>
        <w:jc w:val="center"/>
        <w:rPr>
          <w:rFonts w:ascii="Times New Roman" w:hAnsi="Times New Roman"/>
          <w:color w:val="auto"/>
          <w:sz w:val="24"/>
          <w:szCs w:val="24"/>
        </w:rPr>
      </w:pPr>
      <w:r>
        <w:rPr>
          <w:rFonts w:ascii="Times New Roman" w:hAnsi="Times New Roman"/>
          <w:color w:val="auto"/>
          <w:sz w:val="24"/>
          <w:szCs w:val="24"/>
        </w:rPr>
        <w:t xml:space="preserve">постановлением администрации </w:t>
      </w:r>
    </w:p>
    <w:p>
      <w:pPr>
        <w:pStyle w:val="ConsPlusNormal"/>
        <w:widowControl w:val="false"/>
        <w:suppressAutoHyphens w:val="true"/>
        <w:overflowPunct w:val="true"/>
        <w:bidi w:val="0"/>
        <w:spacing w:lineRule="auto" w:line="240" w:before="0" w:after="0"/>
        <w:ind w:left="4535" w:right="0" w:hanging="0"/>
        <w:jc w:val="center"/>
        <w:rPr>
          <w:sz w:val="24"/>
          <w:szCs w:val="24"/>
        </w:rPr>
      </w:pPr>
      <w:r>
        <w:rPr>
          <w:rFonts w:ascii="Times New Roman" w:hAnsi="Times New Roman"/>
          <w:color w:val="auto"/>
          <w:sz w:val="24"/>
          <w:szCs w:val="24"/>
        </w:rPr>
        <w:t xml:space="preserve">Шарангского муниципального района </w:t>
      </w:r>
    </w:p>
    <w:p>
      <w:pPr>
        <w:pStyle w:val="ConsPlusNormal"/>
        <w:widowControl w:val="false"/>
        <w:suppressAutoHyphens w:val="true"/>
        <w:overflowPunct w:val="true"/>
        <w:bidi w:val="0"/>
        <w:spacing w:lineRule="auto" w:line="240" w:before="0" w:after="0"/>
        <w:ind w:left="4535" w:right="0" w:hanging="0"/>
        <w:jc w:val="center"/>
        <w:rPr>
          <w:sz w:val="24"/>
          <w:szCs w:val="24"/>
        </w:rPr>
      </w:pPr>
      <w:r>
        <w:rPr>
          <w:rFonts w:eastAsia="Times New Roman" w:cs="Arial" w:ascii="Times New Roman" w:hAnsi="Times New Roman"/>
          <w:color w:val="auto"/>
          <w:kern w:val="0"/>
          <w:sz w:val="24"/>
          <w:szCs w:val="24"/>
          <w:lang w:val="ru-RU" w:eastAsia="zh-CN" w:bidi="ar-SA"/>
        </w:rPr>
        <w:t>от 05.06.2020 г. № 246</w:t>
      </w:r>
    </w:p>
    <w:p>
      <w:pPr>
        <w:pStyle w:val="ConsPlusNormal"/>
        <w:widowControl w:val="false"/>
        <w:suppressAutoHyphens w:val="true"/>
        <w:overflowPunct w:val="true"/>
        <w:bidi w:val="0"/>
        <w:spacing w:lineRule="auto" w:line="240" w:before="0" w:after="0"/>
        <w:ind w:left="0" w:right="0" w:firstLine="567"/>
        <w:jc w:val="center"/>
        <w:rPr>
          <w:rFonts w:ascii="Times New Roman" w:hAnsi="Times New Roman" w:eastAsia="Times New Roman" w:cs="Arial"/>
          <w:color w:val="auto"/>
          <w:kern w:val="0"/>
          <w:lang w:val="ru-RU" w:eastAsia="zh-CN" w:bidi="ar-SA"/>
        </w:rPr>
      </w:pPr>
      <w:r>
        <w:rPr>
          <w:sz w:val="24"/>
          <w:szCs w:val="24"/>
        </w:rPr>
      </w:r>
    </w:p>
    <w:p>
      <w:pPr>
        <w:pStyle w:val="ConsPlusNormal"/>
        <w:widowControl w:val="false"/>
        <w:suppressAutoHyphens w:val="true"/>
        <w:overflowPunct w:val="true"/>
        <w:bidi w:val="0"/>
        <w:spacing w:lineRule="auto" w:line="240" w:before="0" w:after="0"/>
        <w:ind w:left="0" w:right="0" w:firstLine="567"/>
        <w:jc w:val="center"/>
        <w:rPr>
          <w:sz w:val="24"/>
          <w:szCs w:val="24"/>
        </w:rPr>
      </w:pPr>
      <w:r>
        <w:rPr>
          <w:rFonts w:eastAsia="Times New Roman" w:cs="Arial" w:ascii="Times New Roman" w:hAnsi="Times New Roman"/>
          <w:color w:val="auto"/>
          <w:kern w:val="0"/>
          <w:sz w:val="24"/>
          <w:szCs w:val="24"/>
          <w:lang w:val="ru-RU" w:eastAsia="zh-CN" w:bidi="ar-SA"/>
        </w:rPr>
        <w:t xml:space="preserve"> </w:t>
      </w:r>
    </w:p>
    <w:p>
      <w:pPr>
        <w:pStyle w:val="ConsPlusTitle"/>
        <w:widowControl w:val="false"/>
        <w:bidi w:val="0"/>
        <w:spacing w:lineRule="auto" w:line="240" w:before="0" w:after="0"/>
        <w:ind w:left="1134" w:right="1134" w:hanging="0"/>
        <w:jc w:val="center"/>
        <w:rPr>
          <w:rFonts w:ascii="Times New Roman" w:hAnsi="Times New Roman"/>
          <w:color w:val="auto"/>
          <w:sz w:val="24"/>
          <w:szCs w:val="24"/>
        </w:rPr>
      </w:pPr>
      <w:r>
        <w:rPr>
          <w:rFonts w:ascii="Times New Roman" w:hAnsi="Times New Roman"/>
          <w:color w:val="auto"/>
          <w:sz w:val="24"/>
          <w:szCs w:val="24"/>
        </w:rPr>
        <w:t>Административный регламент</w:t>
      </w:r>
    </w:p>
    <w:p>
      <w:pPr>
        <w:pStyle w:val="ConsPlusTitle"/>
        <w:widowControl w:val="false"/>
        <w:bidi w:val="0"/>
        <w:spacing w:lineRule="auto" w:line="240" w:before="0" w:after="0"/>
        <w:ind w:left="1134" w:right="1134" w:hanging="0"/>
        <w:jc w:val="center"/>
        <w:rPr>
          <w:rFonts w:ascii="Times New Roman" w:hAnsi="Times New Roman"/>
          <w:color w:val="auto"/>
          <w:sz w:val="24"/>
          <w:szCs w:val="24"/>
        </w:rPr>
      </w:pPr>
      <w:r>
        <w:rPr>
          <w:rFonts w:ascii="Times New Roman" w:hAnsi="Times New Roman"/>
          <w:color w:val="auto"/>
          <w:sz w:val="24"/>
          <w:szCs w:val="24"/>
        </w:rPr>
        <w:t>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t>I. ОБЩИЕ ПОЛОЖЕНИЯ</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1.1. Предмет регулирования регламента</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Административный регламент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1.2. Круг заявителей для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За предоставлением муниципальной услуги вправе обратиться физическое или юридическое лицо, обеспечивающее на принадлежащем ему земельном участке или на земельном участке иного правообладателя (в установленных законодательством случаях) строительство, реконструкцию,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(далее по тексту - застройщик).</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От имени застройщика могут выступать представители, наделенные в порядке, установленном законодательством Российской Федерации, полномочиями выступать от его имени при взаимодействии с органами местного самоуправления при предоставлении муниципальной услуги.</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1.3. Требования к порядку информирования о предоставлении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1.3.1. Информирование о предоставлении муниципальной услуги осуществляется: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а) Отделом капитального строительства администрации Шарангского муниципального района (далее - ОКС), </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почтовый адрес ОКС: 606840, Нижегородская область, р.п. Шаранга, ул. Свободы, д.2.</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График (режим) работы ОКС: понедельник - пятница - 8.00 - 17.00, перерыв - 12.00 - 13.00,</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суббота - воскресенье - выходные дни.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Номер телефона ОКС: (83155) 2-17-23.</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Официальный адрес электронной почты - official@adm.</w:t>
      </w:r>
      <w:r>
        <w:rPr>
          <w:rFonts w:ascii="Times New Roman" w:hAnsi="Times New Roman"/>
          <w:color w:val="auto"/>
          <w:sz w:val="24"/>
          <w:szCs w:val="24"/>
          <w:lang w:val="en-US"/>
        </w:rPr>
        <w:t>shr</w:t>
      </w:r>
      <w:r>
        <w:rPr>
          <w:rFonts w:ascii="Times New Roman" w:hAnsi="Times New Roman"/>
          <w:color w:val="auto"/>
          <w:sz w:val="24"/>
          <w:szCs w:val="24"/>
        </w:rPr>
        <w:t>.nnov.ru.</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Официальный сайт - http://www.sharanga.nnov.ru. </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б)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Нижегородской области" (далее также - МБУ "МФЦ", МФЦ)</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почтовый адрес МБУ «МФЦ» - 606840, Нижегородская область, р.п. Шаранга, ул. Ленина, д. 19.</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График работы:</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Вторник, среда с 8-00 до 18-00</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Четверг, пятница с 8-00 до 17-00</w:t>
      </w:r>
    </w:p>
    <w:p>
      <w:pPr>
        <w:pStyle w:val="Normal"/>
        <w:tabs>
          <w:tab w:val="clear" w:pos="709"/>
          <w:tab w:val="left" w:pos="2880" w:leader="none"/>
        </w:tabs>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Суббота с 8-00 до 13-00 </w:t>
      </w:r>
    </w:p>
    <w:p>
      <w:pPr>
        <w:pStyle w:val="Normal"/>
        <w:tabs>
          <w:tab w:val="clear" w:pos="709"/>
          <w:tab w:val="left" w:pos="2880" w:leader="none"/>
        </w:tabs>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Понедельник, воскресенье – выходные дни</w:t>
      </w:r>
    </w:p>
    <w:p>
      <w:pPr>
        <w:pStyle w:val="Normal"/>
        <w:tabs>
          <w:tab w:val="clear" w:pos="709"/>
          <w:tab w:val="left" w:pos="2880" w:leader="none"/>
        </w:tabs>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обеденный перерыв с 12-00 до 12-45</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8(83155)2-20-46</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1.3.2. Информирование о предоставлении муниципальной услуги осуществляется: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в устной форме в ОКС,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письменно при поступлении обращения в адрес администрации Шарангского муниципального района, МФЦ либо через интернет-сайт администрации Шарангского муниципального района, МФЦ, по электронной почте;</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с использованием средств телефонной связи;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1.3.3. Основными требованиями к информированию заявителей являются: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достоверность и полнота предоставляемой информации;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четкость изложения информации;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удобство и доступность получения информации;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оперативность предоставления информации.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1.3.4. Индивидуальное устное информирование по процедуре оказания муниципальной услуги осуществляется при обращении заинтересованных лиц лично или по телефону. При устном информировании специалист должен принять все необходимые меры для предоставления полного ответа на поставленные вопросы.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При ответах на телефонные звонки и устные обращения специалисты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Время получения ответа при индивидуальном устном информировании не должно превышать 15 минут.</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Индивидуальное письменное информирование по процедуре оказания муниципальной услуги осуществляется при обращении заинтересованных лиц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1.4. На официальном сайте администрации Шарангского муниципального района в сети Интернет размещается следующая информация о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наименование и почтовый адрес администрации;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справочный номер телефона специалиста, ответственного за предоставление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график работы специалиста, ответственного за предоставление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перечень документов, необходимых для получения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выдержки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текст настоящего регламента с приложениями;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краткое описание порядка предоставления муниципальной услуги;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образцы оформления документов, необходимых для получения муниципальной услуги, и требования к ним.</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t>II. СТАНДАРТ ПРЕДОСТАВЛЕНИЯ МУНИЦИПАЛЬНОЙ УСЛУГИ</w:t>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2.1. Наименование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2.2. Наименование органа, предоставляющего муниципальную услугу</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2.2.1. Муниципальная услуга оказывается администрацией Шарангского муниципального района. </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Непосредственным исполнителем муниципальной услуги является Отдел капитального строительства администрации Шарангского муниципального района.</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2.2.2. При предоставлении муниципальной услуги ОКС осуществляет взаимодействие с:</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государственным автономным учреждением Нижегородской области "Управление государственной экспертизы проектной документации и результатов инженерных изысканий" (ГАУ НО "Управление госэкспертизы");</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министерством экологии и природных ресурсов Нижегородской области;</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департаментом Федеральной службы по надзору в сфере природопользования по Приволжскому федеральному округу;</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управлением Федеральной службы государственной регистрации, кадастра и картографии по Нижегородской области;</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инспекцией государственного строительного надзора Нижегородской области;</w:t>
      </w:r>
    </w:p>
    <w:p>
      <w:pPr>
        <w:pStyle w:val="ConsPlusNormal"/>
        <w:numPr>
          <w:ilvl w:val="0"/>
          <w:numId w:val="3"/>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управлением государственной охраны объектов культурного наследия Нижегородской области.</w:t>
      </w:r>
    </w:p>
    <w:p>
      <w:pPr>
        <w:pStyle w:val="ConsPlusNormal"/>
        <w:spacing w:lineRule="auto" w:line="240" w:before="0" w:after="0"/>
        <w:ind w:left="0" w:right="0" w:firstLine="567"/>
        <w:jc w:val="both"/>
        <w:rPr>
          <w:color w:val="auto"/>
          <w:sz w:val="24"/>
          <w:szCs w:val="24"/>
        </w:rPr>
      </w:pPr>
      <w:r>
        <w:rPr>
          <w:rFonts w:ascii="Times New Roman" w:hAnsi="Times New Roman"/>
          <w:color w:val="auto"/>
          <w:sz w:val="24"/>
          <w:szCs w:val="24"/>
        </w:rPr>
        <w:t>2.2.3.</w:t>
        <w:tab/>
        <w:t xml:space="preserve">Органы, участвующие в предоставлении муниципальной услуги,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w:t>
      </w:r>
      <w:r>
        <w:rPr>
          <w:rFonts w:ascii="Times New Roman" w:hAnsi="Times New Roman"/>
          <w:color w:val="auto"/>
          <w:sz w:val="24"/>
          <w:szCs w:val="24"/>
        </w:rPr>
        <w:t>перечень</w:t>
      </w:r>
      <w:r>
        <w:rPr>
          <w:rFonts w:ascii="Times New Roman" w:hAnsi="Times New Roman"/>
          <w:color w:val="auto"/>
          <w:sz w:val="24"/>
          <w:szCs w:val="24"/>
        </w:rPr>
        <w:t xml:space="preserve">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2.3. Результат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2.3.1. Результатом предоставления муниципальной услуги является:</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выдача заявителю разрешения на строительство, реконструкцию объектов капитального строительства (далее – разрешение на строительство);</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продление срока действия разрешения на строительство;</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внесение изменений в разрешение на строительство;</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отказ в выдаче заявителю разрешения на строительство;</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отказ в продлении срока действия разрешения на строительство;</w:t>
      </w:r>
    </w:p>
    <w:p>
      <w:pPr>
        <w:pStyle w:val="ListParagraph"/>
        <w:numPr>
          <w:ilvl w:val="0"/>
          <w:numId w:val="4"/>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отказ во внесении изменений в разрешение на строительство.</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2.4. Срок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Муниципальная услуга предоставляется в течение 5 рабочих дней со дня получения заявления.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представления заявителем документов через многофункциональный центр срок исчисляется со дня передачи многофункциональным центром таких документов в ОКС.</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2.5. Перечень нормативных правовых актов, регулирующих отношения, возникающие в связи с предоставлением муниципальных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2.5.1. Предоставление муниципальной услуги осуществляется в соответствии с:</w:t>
      </w:r>
    </w:p>
    <w:p>
      <w:pPr>
        <w:pStyle w:val="ConsPlusNormal"/>
        <w:numPr>
          <w:ilvl w:val="0"/>
          <w:numId w:val="5"/>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Градостроительным кодексом Российской Федерации;</w:t>
      </w:r>
    </w:p>
    <w:p>
      <w:pPr>
        <w:pStyle w:val="ConsPlusNormal"/>
        <w:numPr>
          <w:ilvl w:val="0"/>
          <w:numId w:val="5"/>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Федеральным законом от 02.05.2006 № 59-ФЗ «О порядке рассмотрения обращений граждан Российской Федерации»;</w:t>
      </w:r>
    </w:p>
    <w:p>
      <w:pPr>
        <w:pStyle w:val="ConsPlusNormal"/>
        <w:numPr>
          <w:ilvl w:val="0"/>
          <w:numId w:val="5"/>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Федеральным законом от 27.07.2010 № 210-ФЗ «Об организации предоставления государственных и муниципальных услуг»</w:t>
      </w:r>
      <w:r>
        <w:rPr>
          <w:rFonts w:eastAsia="Calibri" w:ascii="Times New Roman" w:hAnsi="Times New Roman"/>
          <w:color w:val="auto"/>
          <w:sz w:val="24"/>
          <w:szCs w:val="24"/>
          <w:lang w:eastAsia="en-US"/>
        </w:rPr>
        <w:t>;</w:t>
      </w:r>
    </w:p>
    <w:p>
      <w:pPr>
        <w:pStyle w:val="ConsPlusNormal"/>
        <w:numPr>
          <w:ilvl w:val="0"/>
          <w:numId w:val="5"/>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Приказом Министерства строительства и жилищно-коммунального хозяйства Российской Федерации от 19.02.2015г. № 117/ПР "Об утверждении формы разрешения на строительство и формы разрешения на ввод объекта в эксплуатацию";</w:t>
      </w:r>
    </w:p>
    <w:p>
      <w:pPr>
        <w:pStyle w:val="ConsPlusNormal"/>
        <w:numPr>
          <w:ilvl w:val="0"/>
          <w:numId w:val="5"/>
        </w:numPr>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иными нормативными правовыми актами.</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2.5.2. Полный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 Шарангского муниципального района в сети "Интернет", в федеральном реестре и на Едином портале государственных и муниципальных услуг.</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 xml:space="preserve">2.6. Исчерпывающий перечень документов, необходимых для предоставления муниципальной услуги </w:t>
      </w:r>
    </w:p>
    <w:p>
      <w:pPr>
        <w:pStyle w:val="ConsPlusNormal"/>
        <w:spacing w:lineRule="auto" w:line="240" w:before="0" w:after="0"/>
        <w:ind w:left="0" w:right="0" w:firstLine="567"/>
        <w:jc w:val="both"/>
        <w:rPr>
          <w:color w:val="auto"/>
          <w:sz w:val="24"/>
          <w:szCs w:val="24"/>
        </w:rPr>
      </w:pPr>
      <w:bookmarkStart w:id="0" w:name="Par0"/>
      <w:bookmarkEnd w:id="0"/>
      <w:r>
        <w:rPr>
          <w:rFonts w:eastAsia="Calibri" w:ascii="Times New Roman" w:hAnsi="Times New Roman" w:eastAsiaTheme="minorHAnsi"/>
          <w:color w:val="auto"/>
          <w:sz w:val="24"/>
          <w:szCs w:val="24"/>
          <w:lang w:eastAsia="en-US"/>
        </w:rPr>
        <w:t xml:space="preserve">2.6.1. </w:t>
      </w:r>
      <w:r>
        <w:rPr>
          <w:rFonts w:ascii="Times New Roman" w:hAnsi="Times New Roman"/>
          <w:color w:val="auto"/>
          <w:sz w:val="24"/>
          <w:szCs w:val="24"/>
        </w:rPr>
        <w:t xml:space="preserve">В целях строительства, реконструкции объекта капитального строительства заявитель направляет в ОКС </w:t>
      </w:r>
      <w:r>
        <w:rPr>
          <w:rFonts w:ascii="Times New Roman" w:hAnsi="Times New Roman"/>
          <w:color w:val="auto"/>
          <w:sz w:val="24"/>
          <w:szCs w:val="24"/>
        </w:rPr>
        <w:t>заявление</w:t>
      </w:r>
      <w:r>
        <w:rPr>
          <w:rFonts w:ascii="Times New Roman" w:hAnsi="Times New Roman"/>
          <w:color w:val="auto"/>
          <w:sz w:val="24"/>
          <w:szCs w:val="24"/>
        </w:rPr>
        <w:t xml:space="preserve"> о выдаче разрешения на строительство.</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 </w:t>
      </w:r>
      <w:r>
        <w:rPr>
          <w:rFonts w:ascii="Times New Roman" w:hAnsi="Times New Roman"/>
          <w:color w:val="auto"/>
          <w:sz w:val="24"/>
          <w:szCs w:val="24"/>
        </w:rPr>
        <w:t>Заявление о выдаче разрешения на строительство может быть подано через МБУ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 </w:t>
      </w:r>
      <w:r>
        <w:rPr>
          <w:rFonts w:ascii="Times New Roman" w:hAnsi="Times New Roman"/>
          <w:color w:val="auto"/>
          <w:sz w:val="24"/>
          <w:szCs w:val="24"/>
        </w:rPr>
        <w:t>К указанному заявлению прилагаются следующие документы:</w:t>
      </w:r>
    </w:p>
    <w:p>
      <w:pPr>
        <w:pStyle w:val="Normal"/>
        <w:spacing w:lineRule="auto" w:line="240" w:before="0" w:after="0"/>
        <w:ind w:left="0" w:right="0" w:firstLine="567"/>
        <w:jc w:val="both"/>
        <w:rPr>
          <w:color w:val="auto"/>
          <w:sz w:val="24"/>
          <w:szCs w:val="24"/>
        </w:rPr>
      </w:pPr>
      <w:bookmarkStart w:id="1" w:name="Par2"/>
      <w:bookmarkEnd w:id="1"/>
      <w:r>
        <w:rPr>
          <w:rFonts w:ascii="Times New Roman" w:hAnsi="Times New Roman"/>
          <w:color w:val="auto"/>
          <w:sz w:val="24"/>
          <w:szCs w:val="24"/>
        </w:rPr>
        <w:t>1) правоустанавливающие документы на земельный участок,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2) при наличии соглашения о передаче в случаях, установленных бюджетным законодательством Российской Федерации,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w:t>
      </w:r>
    </w:p>
    <w:p>
      <w:pPr>
        <w:pStyle w:val="Normal"/>
        <w:spacing w:lineRule="auto" w:line="240" w:before="0" w:after="0"/>
        <w:ind w:left="0" w:right="0" w:firstLine="567"/>
        <w:jc w:val="both"/>
        <w:rPr>
          <w:rFonts w:ascii="Times New Roman" w:hAnsi="Times New Roman"/>
          <w:color w:val="auto"/>
          <w:sz w:val="24"/>
          <w:szCs w:val="24"/>
        </w:rPr>
      </w:pPr>
      <w:bookmarkStart w:id="2" w:name="Par5"/>
      <w:bookmarkEnd w:id="2"/>
      <w:r>
        <w:rPr>
          <w:rFonts w:ascii="Times New Roman" w:hAnsi="Times New Roman"/>
          <w:color w:val="auto"/>
          <w:sz w:val="24"/>
          <w:szCs w:val="24"/>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4) результаты инженерных изысканий и следующие материалы, содержащиеся в утвержденной в соответствии с частью 15 статьи 48 Градостроительного кодекса проектной документации: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а) пояснительная записка;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5)</w:t>
      </w:r>
      <w:r>
        <w:rPr>
          <w:rFonts w:ascii="Times New Roman" w:hAnsi="Times New Roman"/>
          <w:color w:val="auto"/>
          <w:sz w:val="24"/>
          <w:szCs w:val="24"/>
        </w:rPr>
        <w:t xml:space="preserve"> </w:t>
      </w:r>
      <w:bookmarkStart w:id="3" w:name="Par18"/>
      <w:bookmarkEnd w:id="3"/>
      <w:r>
        <w:rPr>
          <w:rFonts w:eastAsia="Calibri" w:ascii="Times New Roman" w:hAnsi="Times New Roman" w:eastAsiaTheme="minorHAnsi"/>
          <w:color w:val="auto"/>
          <w:sz w:val="24"/>
          <w:szCs w:val="24"/>
          <w:lang w:eastAsia="en-US"/>
        </w:rPr>
        <w:t xml:space="preserve">положительное заключение экспертизы проектной документации,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w:t>
      </w:r>
      <w:r>
        <w:rPr>
          <w:rFonts w:eastAsia="Calibri" w:ascii="Times New Roman" w:hAnsi="Times New Roman" w:eastAsiaTheme="minorHAnsi"/>
          <w:color w:val="auto"/>
          <w:sz w:val="24"/>
          <w:szCs w:val="24"/>
          <w:lang w:eastAsia="en-US"/>
        </w:rPr>
        <w:t>частью 12.1 статьи 48</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xml:space="preserve">), если такая проектная документация подлежит экспертизе в соответствии со </w:t>
      </w:r>
      <w:r>
        <w:rPr>
          <w:rFonts w:eastAsia="Calibri" w:ascii="Times New Roman" w:hAnsi="Times New Roman" w:eastAsiaTheme="minorHAnsi"/>
          <w:color w:val="auto"/>
          <w:sz w:val="24"/>
          <w:szCs w:val="24"/>
          <w:lang w:eastAsia="en-US"/>
        </w:rPr>
        <w:t>статьей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xml:space="preserve">, положительное заключение государственной экспертизы проектной документации в случаях, предусмотренных </w:t>
      </w:r>
      <w:r>
        <w:rPr>
          <w:rFonts w:eastAsia="Calibri" w:ascii="Times New Roman" w:hAnsi="Times New Roman" w:eastAsiaTheme="minorHAnsi"/>
          <w:color w:val="auto"/>
          <w:sz w:val="24"/>
          <w:szCs w:val="24"/>
          <w:lang w:eastAsia="en-US"/>
        </w:rPr>
        <w:t>частью 3.4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xml:space="preserve">, положительное заключение государственной экологической экспертизы проектной документации в случаях, предусмотренных </w:t>
      </w:r>
      <w:r>
        <w:rPr>
          <w:rFonts w:eastAsia="Calibri" w:ascii="Times New Roman" w:hAnsi="Times New Roman" w:eastAsiaTheme="minorHAnsi"/>
          <w:color w:val="auto"/>
          <w:sz w:val="24"/>
          <w:szCs w:val="24"/>
          <w:lang w:eastAsia="en-US"/>
        </w:rPr>
        <w:t>частью 6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6)</w:t>
      </w:r>
      <w:r>
        <w:rPr>
          <w:rFonts w:eastAsia="Calibri" w:ascii="Times New Roman" w:hAnsi="Times New Roman" w:eastAsiaTheme="minorHAnsi"/>
          <w:color w:val="auto"/>
          <w:sz w:val="24"/>
          <w:szCs w:val="24"/>
          <w:lang w:eastAsia="en-US"/>
        </w:rPr>
        <w:t xml:space="preserve"> подтверждение соответствия вносимых в проектную документацию изменений требованиям, указанным в </w:t>
      </w:r>
      <w:r>
        <w:rPr>
          <w:rFonts w:eastAsia="Calibri" w:ascii="Times New Roman" w:hAnsi="Times New Roman" w:eastAsiaTheme="minorHAnsi"/>
          <w:color w:val="auto"/>
          <w:sz w:val="24"/>
          <w:szCs w:val="24"/>
          <w:lang w:eastAsia="en-US"/>
        </w:rPr>
        <w:t>части 3.8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xml:space="preserve">,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настоящим Кодексом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w:t>
      </w:r>
      <w:r>
        <w:rPr>
          <w:rFonts w:eastAsia="Calibri" w:ascii="Times New Roman" w:hAnsi="Times New Roman" w:eastAsiaTheme="minorHAnsi"/>
          <w:color w:val="auto"/>
          <w:sz w:val="24"/>
          <w:szCs w:val="24"/>
          <w:lang w:eastAsia="en-US"/>
        </w:rPr>
        <w:t>частью 3.8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7)</w:t>
      </w:r>
      <w:r>
        <w:rPr>
          <w:rFonts w:eastAsia="Calibri" w:ascii="Times New Roman" w:hAnsi="Times New Roman" w:eastAsiaTheme="minorHAnsi"/>
          <w:color w:val="auto"/>
          <w:sz w:val="24"/>
          <w:szCs w:val="24"/>
          <w:lang w:eastAsia="en-US"/>
        </w:rPr>
        <w:t xml:space="preserve"> подтверждение соответствия вносимых в проектную документацию изменений требованиям, указанным в </w:t>
      </w:r>
      <w:r>
        <w:rPr>
          <w:rFonts w:eastAsia="Calibri" w:ascii="Times New Roman" w:hAnsi="Times New Roman" w:eastAsiaTheme="minorHAnsi"/>
          <w:color w:val="auto"/>
          <w:sz w:val="24"/>
          <w:szCs w:val="24"/>
          <w:lang w:eastAsia="en-US"/>
        </w:rPr>
        <w:t>части 3.9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xml:space="preserve">,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r>
        <w:rPr>
          <w:rFonts w:eastAsia="Calibri" w:ascii="Times New Roman" w:hAnsi="Times New Roman" w:eastAsiaTheme="minorHAnsi"/>
          <w:color w:val="auto"/>
          <w:sz w:val="24"/>
          <w:szCs w:val="24"/>
          <w:lang w:eastAsia="en-US"/>
        </w:rPr>
        <w:t>частью 3.9 статьи 49</w:t>
      </w:r>
      <w:r>
        <w:rPr>
          <w:rFonts w:eastAsia="Calibri" w:ascii="Times New Roman" w:hAnsi="Times New Roman" w:eastAsiaTheme="minorHAnsi"/>
          <w:color w:val="auto"/>
          <w:sz w:val="24"/>
          <w:szCs w:val="24"/>
          <w:lang w:eastAsia="en-US"/>
        </w:rPr>
        <w:t xml:space="preserve">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Градостроительного кодекса);</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9) согласие всех правообладателей объекта капитального строительства в случае реконструкции такого объекта, за исключением указанных в пункте 6.2 части 7 статьи 51 Градостроительного кодекса случаев реконструкции многоквартирного дома;</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10)</w:t>
      </w:r>
      <w:r>
        <w:rPr>
          <w:rFonts w:eastAsia="Calibri" w:ascii="Times New Roman" w:hAnsi="Times New Roman" w:eastAsiaTheme="minorHAnsi"/>
          <w:color w:val="auto"/>
          <w:sz w:val="24"/>
          <w:szCs w:val="24"/>
          <w:lang w:eastAsia="en-US"/>
        </w:rPr>
        <w:t xml:space="preserve">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p>
    <w:p>
      <w:pPr>
        <w:pStyle w:val="ConsPlusNormal"/>
        <w:spacing w:lineRule="auto" w:line="240" w:before="0" w:after="0"/>
        <w:ind w:left="0" w:right="0" w:firstLine="567"/>
        <w:jc w:val="both"/>
        <w:rPr>
          <w:color w:val="auto"/>
          <w:sz w:val="24"/>
          <w:szCs w:val="24"/>
        </w:rPr>
      </w:pPr>
      <w:bookmarkStart w:id="4" w:name="Par23"/>
      <w:bookmarkEnd w:id="4"/>
      <w:r>
        <w:rPr>
          <w:rFonts w:ascii="Times New Roman" w:hAnsi="Times New Roman"/>
          <w:color w:val="auto"/>
          <w:sz w:val="24"/>
          <w:szCs w:val="24"/>
        </w:rPr>
        <w:t xml:space="preserve">11) решение общего собрания собственников помещений и машино-мест в многоквартирном доме, принятое в соответствии с жилищным </w:t>
      </w:r>
      <w:r>
        <w:rPr>
          <w:rFonts w:ascii="Times New Roman" w:hAnsi="Times New Roman"/>
          <w:color w:val="auto"/>
          <w:sz w:val="24"/>
          <w:szCs w:val="24"/>
        </w:rPr>
        <w:t>законодательством</w:t>
      </w:r>
      <w:r>
        <w:rPr>
          <w:rFonts w:ascii="Times New Roman" w:hAnsi="Times New Roman"/>
          <w:color w:val="auto"/>
          <w:sz w:val="24"/>
          <w:szCs w:val="24"/>
        </w:rPr>
        <w:t xml:space="preserve">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12)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13) документы, предусмотренные законодательством Российской Федерации об объектах культурного наследия,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p>
    <w:p>
      <w:pPr>
        <w:pStyle w:val="Normal"/>
        <w:spacing w:lineRule="auto" w:line="240" w:before="0" w:after="0"/>
        <w:ind w:left="0" w:right="0" w:firstLine="567"/>
        <w:jc w:val="both"/>
        <w:rPr>
          <w:color w:val="auto"/>
          <w:sz w:val="24"/>
          <w:szCs w:val="24"/>
        </w:rPr>
      </w:pPr>
      <w:r>
        <w:rPr>
          <w:rFonts w:ascii="Times New Roman" w:hAnsi="Times New Roman"/>
          <w:color w:val="auto"/>
          <w:sz w:val="24"/>
          <w:szCs w:val="24"/>
        </w:rPr>
        <w:t>14)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15) копия договора о развитии застроенной территории или договора о комплексном</w:t>
      </w:r>
      <w:r>
        <w:rPr>
          <w:rFonts w:eastAsia="Calibri" w:ascii="Times New Roman" w:hAnsi="Times New Roman" w:eastAsiaTheme="minorHAnsi"/>
          <w:color w:val="auto"/>
          <w:sz w:val="24"/>
          <w:szCs w:val="24"/>
          <w:lang w:eastAsia="en-US"/>
        </w:rPr>
        <w:t xml:space="preserve">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 за исключением случая принятия решения о самостоятельном осуществлении комплексного развития территории.</w:t>
      </w:r>
    </w:p>
    <w:p>
      <w:pPr>
        <w:pStyle w:val="ConsPlusNormal"/>
        <w:spacing w:lineRule="auto" w:line="240" w:before="0" w:after="0"/>
        <w:ind w:left="0" w:right="0" w:firstLine="567"/>
        <w:jc w:val="both"/>
        <w:rPr>
          <w:color w:val="auto"/>
          <w:sz w:val="24"/>
          <w:szCs w:val="24"/>
        </w:rPr>
      </w:pPr>
      <w:r>
        <w:rPr>
          <w:rFonts w:ascii="Times New Roman" w:hAnsi="Times New Roman"/>
          <w:color w:val="auto"/>
          <w:sz w:val="24"/>
          <w:szCs w:val="24"/>
        </w:rPr>
        <w:t>2.6.2. Документы (их копии или сведения, содержащиеся в них), указанные в подпунктах 1</w:t>
      </w:r>
      <w:r>
        <w:rPr>
          <w:rFonts w:ascii="Times New Roman" w:hAnsi="Times New Roman"/>
          <w:color w:val="auto"/>
          <w:sz w:val="24"/>
          <w:szCs w:val="24"/>
        </w:rPr>
        <w:t>-</w:t>
      </w:r>
      <w:r>
        <w:rPr>
          <w:rFonts w:ascii="Times New Roman" w:hAnsi="Times New Roman"/>
          <w:color w:val="auto"/>
          <w:sz w:val="24"/>
          <w:szCs w:val="24"/>
        </w:rPr>
        <w:t>8, 12, 14 и 15</w:t>
      </w:r>
      <w:r>
        <w:rPr>
          <w:rFonts w:ascii="Times New Roman" w:hAnsi="Times New Roman"/>
          <w:color w:val="auto"/>
          <w:sz w:val="24"/>
          <w:szCs w:val="24"/>
        </w:rPr>
        <w:t xml:space="preserve"> </w:t>
      </w:r>
      <w:r>
        <w:rPr>
          <w:rFonts w:ascii="Times New Roman" w:hAnsi="Times New Roman"/>
          <w:color w:val="auto"/>
          <w:sz w:val="24"/>
          <w:szCs w:val="24"/>
        </w:rPr>
        <w:t>пункта 2.6.1. Регламента, запрашиваются ОКС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застройщик не представил указанные документы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По межведомственным запросам ОКСа документы (их копии или сведения, содержащиеся в них) предоставляются государственными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трех рабочих дней со дня получения соответствующего межведомственного запроса.</w:t>
      </w:r>
    </w:p>
    <w:p>
      <w:pPr>
        <w:pStyle w:val="ConsPlusNormal"/>
        <w:spacing w:lineRule="auto" w:line="240" w:before="0" w:after="0"/>
        <w:ind w:left="0" w:right="0" w:firstLine="567"/>
        <w:jc w:val="both"/>
        <w:rPr>
          <w:color w:val="auto"/>
          <w:sz w:val="24"/>
          <w:szCs w:val="24"/>
        </w:rPr>
      </w:pPr>
      <w:r>
        <w:rPr>
          <w:rFonts w:ascii="Times New Roman" w:hAnsi="Times New Roman"/>
          <w:color w:val="auto"/>
          <w:sz w:val="24"/>
          <w:szCs w:val="24"/>
        </w:rPr>
        <w:t>2.6.3. Документы, указанные в пунктах 1, 4 - 7 пункта 2.6.1. Регламента, направляются заявителем самостоятельно, если указанные документы (их копии или сведения, содержащиеся в них) отсутствуют в Едином государственном реестре недвижимости или едином государственном реестре заключений.</w:t>
      </w:r>
    </w:p>
    <w:p>
      <w:pPr>
        <w:pStyle w:val="ConsPlusNormal"/>
        <w:spacing w:lineRule="auto" w:line="240" w:before="0" w:after="0"/>
        <w:ind w:left="0" w:right="0" w:firstLine="567"/>
        <w:jc w:val="both"/>
        <w:rPr>
          <w:color w:val="auto"/>
          <w:sz w:val="24"/>
          <w:szCs w:val="24"/>
        </w:rPr>
      </w:pPr>
      <w:r>
        <w:rPr>
          <w:rFonts w:ascii="Times New Roman" w:hAnsi="Times New Roman"/>
          <w:color w:val="auto"/>
          <w:sz w:val="24"/>
          <w:szCs w:val="24"/>
        </w:rPr>
        <w:t>2.6.4.</w:t>
        <w:tab/>
        <w:t>Не допускается требовать иные документы для получения разрешения на строительство, за исключением указанных в пункте 2.6.1. Регламента документов. Документы могут быть направлены в электронной форме. Разрешение на строительство выдается в форме электронного документа, подписанного электронной подписью, в случае, если это указано в заявлении о выдаче разрешения на строительство. Правительством Российской Федерации или высшим исполнительным органом государственной власти субъекта Российской Федерации (применительно к случаям выдачи разрешения на строительство органами исполнительной власти субъектов Российской Федерации, органами местного самоуправления) могут быть установлены случаи, в которых направление указанных в части 7 ст. 51 Градостроительного кодекса документов и выдача разрешений на строительство осуществляются исключительно в электронной форме.</w:t>
      </w:r>
    </w:p>
    <w:p>
      <w:pPr>
        <w:pStyle w:val="ConsPlusNormal"/>
        <w:spacing w:lineRule="auto" w:line="240" w:before="0" w:after="0"/>
        <w:ind w:left="0" w:right="0" w:firstLine="567"/>
        <w:jc w:val="both"/>
        <w:rPr>
          <w:color w:val="auto"/>
          <w:sz w:val="24"/>
          <w:szCs w:val="24"/>
        </w:rPr>
      </w:pPr>
      <w:bookmarkStart w:id="5" w:name="Par37"/>
      <w:bookmarkEnd w:id="5"/>
      <w:r>
        <w:rPr>
          <w:rFonts w:eastAsia="Calibri" w:ascii="Times New Roman" w:hAnsi="Times New Roman" w:eastAsiaTheme="minorHAnsi"/>
          <w:color w:val="auto"/>
          <w:sz w:val="24"/>
          <w:szCs w:val="24"/>
          <w:lang w:eastAsia="en-US"/>
        </w:rPr>
        <w:t>2.6.5.</w:t>
        <w:tab/>
        <w:t xml:space="preserve">Разрешение на строительство выдается на весь срок, предусмотренный проектом организации строительства объекта капитального строительства, за исключением случаев, если такое разрешение выдается в соответствии с частью 12 статьи 51 </w:t>
      </w:r>
      <w:r>
        <w:rPr>
          <w:rFonts w:ascii="Times New Roman" w:hAnsi="Times New Roman"/>
          <w:color w:val="auto"/>
          <w:sz w:val="24"/>
          <w:szCs w:val="24"/>
        </w:rPr>
        <w:t>Градостроительного кодекса</w:t>
      </w:r>
      <w:r>
        <w:rPr>
          <w:rFonts w:eastAsia="Calibri" w:ascii="Times New Roman" w:hAnsi="Times New Roman" w:eastAsiaTheme="minorHAnsi"/>
          <w:color w:val="auto"/>
          <w:sz w:val="24"/>
          <w:szCs w:val="24"/>
          <w:lang w:eastAsia="en-US"/>
        </w:rPr>
        <w:t>. Разрешение на индивидуальное жилищное строительство выдается на десять лет.</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2.6.6. Срок действия разрешения на строительство при переходе права на земельный участок и объекты капитального строительства сохраняется, за исключением следующих случаев: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1) принудительного прекращения права собственности и иных прав на земельные участки, в том числе изъятия земельных участков для государственных или муниципальных нужд;</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 отказа от права собственности и иных прав на земельные участки;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3) расторжения договора аренды и иных договоров, на основании которых у граждан и юридических лиц возникли права на земельные участки;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4) прекращения права пользования недрами, если разрешение на строительство выдано на строительство, реконструкцию объекта капитального строительства на земельном участке, предоставленном пользователю недр и необходимом для ведения работ, связанных с пользованием недрами.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 указанных случаях действие разрешения на строительство прекращается. Решение о прекращении действия разрешения на строительство принимается в срок не более чем тридцать рабочих дней со дня прекращения прав на земельный участок или права пользования недрами.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Также принимается решение о прекращении действия разрешения на строительство при получении одного из следующих документов: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1) уведомление исполнительного органа государственной власти или органа местного самоуправления, принявшего решение о прекращении прав на земельный участок;</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 уведомление исполнительного органа государственной власти или органа местного самоуправления, принявшего решение о прекращении права пользования недрами.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В течение пяти рабочих дней со дня принятия такого решения о прекращении действия разрешения на строительство ответственный специалист ОКС уведомляет об этом органы, указанные в п. 21.16. статьи 51 Градостроительного кодекса. </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2.6.7.</w:t>
        <w:tab/>
        <w:t>В случаях, предусмотренных в частях 21.5 - 21.7 и 21.9 статьи 51 Градостроительного кодекса, застройщики обязаны направить уведомление в ОКС о переходе к ним прав на земельные участки, права пользования недрами, об образовании земельного участка, с указанием реквизитов:</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1) правоустанавливающих документов на такие земельные участки в случае, указанном в </w:t>
      </w:r>
      <w:r>
        <w:rPr>
          <w:rFonts w:eastAsia="Calibri" w:ascii="Times New Roman" w:hAnsi="Times New Roman" w:eastAsiaTheme="minorHAnsi"/>
          <w:color w:val="auto"/>
          <w:sz w:val="24"/>
          <w:szCs w:val="24"/>
          <w:lang w:eastAsia="en-US"/>
        </w:rPr>
        <w:t>части 21.5</w:t>
      </w:r>
      <w:r>
        <w:rPr>
          <w:rFonts w:eastAsia="Calibri" w:ascii="Times New Roman" w:hAnsi="Times New Roman" w:eastAsiaTheme="minorHAnsi"/>
          <w:color w:val="auto"/>
          <w:sz w:val="24"/>
          <w:szCs w:val="24"/>
          <w:lang w:eastAsia="en-US"/>
        </w:rPr>
        <w:t xml:space="preserve"> статьи 51 Градостроительного кодекса;</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2) решения об образовании земельных участков в случаях, предусмотренных </w:t>
      </w:r>
      <w:r>
        <w:rPr>
          <w:rFonts w:eastAsia="Calibri" w:ascii="Times New Roman" w:hAnsi="Times New Roman" w:eastAsiaTheme="minorHAnsi"/>
          <w:color w:val="auto"/>
          <w:sz w:val="24"/>
          <w:szCs w:val="24"/>
          <w:lang w:eastAsia="en-US"/>
        </w:rPr>
        <w:t>частями 21.6</w:t>
      </w:r>
      <w:r>
        <w:rPr>
          <w:rFonts w:eastAsia="Calibri" w:ascii="Times New Roman" w:hAnsi="Times New Roman" w:eastAsiaTheme="minorHAnsi"/>
          <w:color w:val="auto"/>
          <w:sz w:val="24"/>
          <w:szCs w:val="24"/>
          <w:lang w:eastAsia="en-US"/>
        </w:rPr>
        <w:t xml:space="preserve"> и </w:t>
      </w:r>
      <w:r>
        <w:rPr>
          <w:rFonts w:eastAsia="Calibri" w:ascii="Times New Roman" w:hAnsi="Times New Roman" w:eastAsiaTheme="minorHAnsi"/>
          <w:color w:val="auto"/>
          <w:sz w:val="24"/>
          <w:szCs w:val="24"/>
          <w:lang w:eastAsia="en-US"/>
        </w:rPr>
        <w:t>21.7</w:t>
      </w:r>
      <w:r>
        <w:rPr>
          <w:rFonts w:eastAsia="Calibri" w:ascii="Times New Roman" w:hAnsi="Times New Roman" w:eastAsiaTheme="minorHAnsi"/>
          <w:color w:val="auto"/>
          <w:sz w:val="24"/>
          <w:szCs w:val="24"/>
          <w:lang w:eastAsia="en-US"/>
        </w:rPr>
        <w:t xml:space="preserve"> статьи 51 Градостроительного кодекса, если в соответствии с земельным </w:t>
      </w:r>
      <w:r>
        <w:rPr>
          <w:rFonts w:eastAsia="Calibri" w:ascii="Times New Roman" w:hAnsi="Times New Roman" w:eastAsiaTheme="minorHAnsi"/>
          <w:color w:val="auto"/>
          <w:sz w:val="24"/>
          <w:szCs w:val="24"/>
          <w:lang w:eastAsia="en-US"/>
        </w:rPr>
        <w:t>законодательством</w:t>
      </w:r>
      <w:r>
        <w:rPr>
          <w:rFonts w:eastAsia="Calibri" w:ascii="Times New Roman" w:hAnsi="Times New Roman" w:eastAsiaTheme="minorHAnsi"/>
          <w:color w:val="auto"/>
          <w:sz w:val="24"/>
          <w:szCs w:val="24"/>
          <w:lang w:eastAsia="en-US"/>
        </w:rPr>
        <w:t xml:space="preserve"> решение об образовании земельного участка принимает исполнительный орган государственной власти или орган местного самоуправления;</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3)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предусмотренном </w:t>
      </w:r>
      <w:r>
        <w:rPr>
          <w:rFonts w:eastAsia="Calibri" w:ascii="Times New Roman" w:hAnsi="Times New Roman" w:eastAsiaTheme="minorHAnsi"/>
          <w:color w:val="auto"/>
          <w:sz w:val="24"/>
          <w:szCs w:val="24"/>
          <w:lang w:eastAsia="en-US"/>
        </w:rPr>
        <w:t>частью 21.7</w:t>
      </w:r>
      <w:r>
        <w:rPr>
          <w:rFonts w:eastAsia="Calibri" w:ascii="Times New Roman" w:hAnsi="Times New Roman" w:eastAsiaTheme="minorHAnsi"/>
          <w:color w:val="auto"/>
          <w:sz w:val="24"/>
          <w:szCs w:val="24"/>
          <w:lang w:eastAsia="en-US"/>
        </w:rPr>
        <w:t xml:space="preserve"> статьи 51 Градостроительного кодекса;</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4) решения о предоставлении права пользования недрами и решения о переоформлении лицензии на право пользования недрами в случае, предусмотренном </w:t>
      </w:r>
      <w:r>
        <w:rPr>
          <w:rFonts w:eastAsia="Calibri" w:ascii="Times New Roman" w:hAnsi="Times New Roman" w:eastAsiaTheme="minorHAnsi"/>
          <w:color w:val="auto"/>
          <w:sz w:val="24"/>
          <w:szCs w:val="24"/>
          <w:lang w:eastAsia="en-US"/>
        </w:rPr>
        <w:t>частью 21.9</w:t>
      </w:r>
      <w:r>
        <w:rPr>
          <w:rFonts w:eastAsia="Calibri" w:ascii="Times New Roman" w:hAnsi="Times New Roman" w:eastAsiaTheme="minorHAnsi"/>
          <w:color w:val="auto"/>
          <w:sz w:val="24"/>
          <w:szCs w:val="24"/>
          <w:lang w:eastAsia="en-US"/>
        </w:rPr>
        <w:t xml:space="preserve"> статьи 51 Градостроительного кодекса.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Застройщики вправе одновременно с уведомлением о переходе к ним прав на земельные участки, права пользования недрами, об образовании земельного участка представить в ОКС копии указанных документов.</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В случае, если документы, предусмотренные </w:t>
      </w:r>
      <w:r>
        <w:rPr>
          <w:rFonts w:eastAsia="Calibri" w:ascii="Times New Roman" w:hAnsi="Times New Roman" w:eastAsiaTheme="minorHAnsi"/>
          <w:color w:val="auto"/>
          <w:sz w:val="24"/>
          <w:szCs w:val="24"/>
          <w:lang w:eastAsia="en-US"/>
        </w:rPr>
        <w:t>пунктами 1</w:t>
      </w:r>
      <w:r>
        <w:rPr>
          <w:rFonts w:eastAsia="Calibri" w:ascii="Times New Roman" w:hAnsi="Times New Roman" w:eastAsiaTheme="minorHAnsi"/>
          <w:color w:val="auto"/>
          <w:sz w:val="24"/>
          <w:szCs w:val="24"/>
          <w:lang w:eastAsia="en-US"/>
        </w:rPr>
        <w:t xml:space="preserve"> - </w:t>
      </w:r>
      <w:r>
        <w:rPr>
          <w:rFonts w:eastAsia="Calibri" w:ascii="Times New Roman" w:hAnsi="Times New Roman" w:eastAsiaTheme="minorHAnsi"/>
          <w:color w:val="auto"/>
          <w:sz w:val="24"/>
          <w:szCs w:val="24"/>
          <w:lang w:eastAsia="en-US"/>
        </w:rPr>
        <w:t xml:space="preserve">4 </w:t>
      </w:r>
      <w:r>
        <w:rPr>
          <w:rFonts w:eastAsia="Calibri" w:ascii="Times New Roman" w:hAnsi="Times New Roman" w:eastAsiaTheme="minorHAnsi"/>
          <w:color w:val="auto"/>
          <w:sz w:val="24"/>
          <w:szCs w:val="24"/>
          <w:lang w:eastAsia="en-US"/>
        </w:rPr>
        <w:t>настоящего пункта, не представлены заявителем, ОКС обязан запросить такие документы или сведения, содержащиеся в них, в соответствующих органах государственной власти или органах местного самоуправления.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 случае если в Едином государственном реестре недвижимости не содержатся сведения о правоустанавливающих документах на земельный участок, копию таких документов в уполномоченные на выдачу разрешений на строительство орган местного самоуправления, обязан представить застройщик.</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2.6.8.</w:t>
        <w:tab/>
        <w:t>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 для принятия решения о внесении изменений в разрешение на строительство необходимы документы, предусмотренные п.2.6.1.Регламента. Представление указанных документов осуществляется по правилам, установленным п.2.6.2-2.6.5 Регламента.</w:t>
      </w:r>
    </w:p>
    <w:p>
      <w:pPr>
        <w:pStyle w:val="ConsPlusNormal"/>
        <w:spacing w:lineRule="auto" w:line="240" w:before="0" w:after="0"/>
        <w:ind w:left="0" w:right="0" w:firstLine="567"/>
        <w:rPr>
          <w:rFonts w:ascii="Times New Roman" w:hAnsi="Times New Roman"/>
          <w:color w:val="auto"/>
          <w:sz w:val="24"/>
          <w:szCs w:val="24"/>
        </w:rPr>
      </w:pPr>
      <w:r>
        <w:rPr>
          <w:rFonts w:ascii="Times New Roman" w:hAnsi="Times New Roman"/>
          <w:color w:val="auto"/>
          <w:sz w:val="24"/>
          <w:szCs w:val="24"/>
        </w:rPr>
        <w:t>2.7. Исчерпывающий перечень оснований для отказа в предоставлении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b w:val="false"/>
          <w:bCs w:val="false"/>
          <w:color w:val="auto"/>
          <w:sz w:val="24"/>
          <w:szCs w:val="24"/>
          <w:lang w:eastAsia="en-US"/>
        </w:rPr>
        <w:t>2.7.1.</w:t>
      </w:r>
      <w:r>
        <w:rPr>
          <w:rFonts w:eastAsia="Calibri" w:ascii="Times New Roman" w:hAnsi="Times New Roman" w:eastAsiaTheme="minorHAnsi"/>
          <w:color w:val="auto"/>
          <w:sz w:val="24"/>
          <w:szCs w:val="24"/>
          <w:lang w:eastAsia="en-US"/>
        </w:rPr>
        <w:tab/>
      </w:r>
      <w:r>
        <w:rPr>
          <w:rFonts w:eastAsia="Calibri" w:ascii="Times New Roman" w:hAnsi="Times New Roman" w:eastAsiaTheme="minorHAnsi"/>
          <w:b w:val="false"/>
          <w:bCs w:val="false"/>
          <w:color w:val="auto"/>
          <w:sz w:val="24"/>
          <w:szCs w:val="24"/>
          <w:lang w:eastAsia="en-US"/>
        </w:rPr>
        <w:t>Отказ в выдаче разрешения на строительство</w:t>
      </w:r>
      <w:r>
        <w:rPr>
          <w:rFonts w:eastAsia="Calibri" w:ascii="Times New Roman" w:hAnsi="Times New Roman" w:eastAsiaTheme="minorHAnsi"/>
          <w:color w:val="auto"/>
          <w:sz w:val="24"/>
          <w:szCs w:val="24"/>
          <w:lang w:eastAsia="en-US"/>
        </w:rPr>
        <w:t xml:space="preserve"> допускается в случае:</w:t>
      </w:r>
    </w:p>
    <w:p>
      <w:pPr>
        <w:pStyle w:val="ConsPlusNormal"/>
        <w:numPr>
          <w:ilvl w:val="0"/>
          <w:numId w:val="6"/>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отсутствия документов, предусмотренных пунктами 2.6.1. Регламента;</w:t>
      </w:r>
    </w:p>
    <w:p>
      <w:pPr>
        <w:pStyle w:val="ListParagraph"/>
        <w:numPr>
          <w:ilvl w:val="0"/>
          <w:numId w:val="6"/>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несоответствии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предельных параметров разрешенного строительства, реконструкции;</w:t>
      </w:r>
    </w:p>
    <w:p>
      <w:pPr>
        <w:pStyle w:val="ListParagraph"/>
        <w:numPr>
          <w:ilvl w:val="0"/>
          <w:numId w:val="6"/>
        </w:numPr>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в случае, предусмотренном </w:t>
      </w:r>
      <w:r>
        <w:rPr>
          <w:rFonts w:eastAsia="Calibri" w:ascii="Times New Roman" w:hAnsi="Times New Roman" w:eastAsiaTheme="minorHAnsi"/>
          <w:color w:val="auto"/>
          <w:sz w:val="24"/>
          <w:szCs w:val="24"/>
          <w:lang w:eastAsia="en-US"/>
        </w:rPr>
        <w:t>частью 11.1</w:t>
      </w:r>
      <w:r>
        <w:rPr>
          <w:rFonts w:eastAsia="Calibri" w:ascii="Times New Roman" w:hAnsi="Times New Roman" w:eastAsiaTheme="minorHAnsi"/>
          <w:color w:val="auto"/>
          <w:sz w:val="24"/>
          <w:szCs w:val="24"/>
          <w:lang w:eastAsia="en-US"/>
        </w:rPr>
        <w:t xml:space="preserve"> статьи 51 Градостроительного кодекса, основанием для отказа в выдаче разрешения на строительство является также поступившее от органа исполнительной власти субъекта Российской Федерации, уполномоченного в области охраны объектов культурного наследия, заключение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pPr>
        <w:pStyle w:val="ListParagraph"/>
        <w:numPr>
          <w:ilvl w:val="0"/>
          <w:numId w:val="6"/>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 случае, если строительство, реконструкция объекта капитального строительства планируются на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 основанием для отказа в выдаче разрешения на строительство также является отсутствие документации по планировке территории, утвержденной в соответствии с договором о развитии застроенной территории или договором о комплексном развитии территории (за исключением случая принятия решения о самостоятельном осуществлении комплексного развития территории).</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 </w:t>
      </w:r>
      <w:r>
        <w:rPr>
          <w:rFonts w:eastAsia="Calibri" w:ascii="Times New Roman" w:hAnsi="Times New Roman" w:eastAsiaTheme="minorHAnsi"/>
          <w:color w:val="auto"/>
          <w:sz w:val="24"/>
          <w:szCs w:val="24"/>
          <w:lang w:eastAsia="en-US"/>
        </w:rPr>
        <w:t>2.7.2. Неполучение или несвоевременное получение документов, запрошенных в соответствии с пунктами 2.6.2, 2.6.7. Регламента не может являться основанием для отказа в выдаче разрешения на строительство.</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2.7.3.</w:t>
        <w:tab/>
      </w:r>
      <w:r>
        <w:rPr>
          <w:rFonts w:eastAsia="Calibri" w:ascii="Times New Roman" w:hAnsi="Times New Roman" w:eastAsiaTheme="minorHAnsi"/>
          <w:b w:val="false"/>
          <w:bCs w:val="false"/>
          <w:color w:val="auto"/>
          <w:sz w:val="24"/>
          <w:szCs w:val="24"/>
          <w:lang w:eastAsia="en-US"/>
        </w:rPr>
        <w:t>Основанием для отказа во внесении изменений в</w:t>
      </w:r>
      <w:r>
        <w:rPr>
          <w:rFonts w:eastAsia="Calibri" w:ascii="Times New Roman" w:hAnsi="Times New Roman" w:eastAsiaTheme="minorHAnsi"/>
          <w:color w:val="auto"/>
          <w:sz w:val="24"/>
          <w:szCs w:val="24"/>
          <w:lang w:eastAsia="en-US"/>
        </w:rPr>
        <w:t xml:space="preserve"> разрешение на строительство является:</w:t>
      </w:r>
    </w:p>
    <w:p>
      <w:pPr>
        <w:pStyle w:val="ConsPlus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 xml:space="preserve">1) отсутствие в уведомлении о переходе прав на земельный участок, права пользования недрами, об образовании земельного участка реквизитов документов, предусмотренных соответственно </w:t>
      </w:r>
      <w:r>
        <w:rPr>
          <w:rFonts w:eastAsia="Calibri" w:ascii="Times New Roman" w:hAnsi="Times New Roman" w:eastAsiaTheme="minorHAnsi"/>
          <w:color w:val="auto"/>
          <w:sz w:val="24"/>
          <w:szCs w:val="24"/>
          <w:lang w:eastAsia="en-US"/>
        </w:rPr>
        <w:t>пунктами 1</w:t>
      </w:r>
      <w:r>
        <w:rPr>
          <w:rFonts w:eastAsia="Calibri" w:ascii="Times New Roman" w:hAnsi="Times New Roman" w:eastAsiaTheme="minorHAnsi"/>
          <w:color w:val="auto"/>
          <w:sz w:val="24"/>
          <w:szCs w:val="24"/>
          <w:lang w:eastAsia="en-US"/>
        </w:rPr>
        <w:t xml:space="preserve"> - </w:t>
      </w:r>
      <w:r>
        <w:rPr>
          <w:rFonts w:eastAsia="Calibri" w:ascii="Times New Roman" w:hAnsi="Times New Roman" w:eastAsiaTheme="minorHAnsi"/>
          <w:color w:val="auto"/>
          <w:sz w:val="24"/>
          <w:szCs w:val="24"/>
          <w:lang w:eastAsia="en-US"/>
        </w:rPr>
        <w:t>4 части 21.10</w:t>
      </w:r>
      <w:r>
        <w:rPr>
          <w:rFonts w:eastAsia="Calibri" w:ascii="Times New Roman" w:hAnsi="Times New Roman" w:eastAsiaTheme="minorHAnsi"/>
          <w:color w:val="auto"/>
          <w:sz w:val="24"/>
          <w:szCs w:val="24"/>
          <w:lang w:eastAsia="en-US"/>
        </w:rPr>
        <w:t xml:space="preserve"> статьи 51 Градостроительного кодекса, или отсутствие правоустанавливающего документа на земельный участок в случае, указанном в </w:t>
      </w:r>
      <w:r>
        <w:rPr>
          <w:rFonts w:eastAsia="Calibri" w:ascii="Times New Roman" w:hAnsi="Times New Roman" w:eastAsiaTheme="minorHAnsi"/>
          <w:color w:val="auto"/>
          <w:sz w:val="24"/>
          <w:szCs w:val="24"/>
          <w:lang w:eastAsia="en-US"/>
        </w:rPr>
        <w:t>части 21.13</w:t>
      </w:r>
      <w:r>
        <w:rPr>
          <w:rFonts w:eastAsia="Calibri" w:ascii="Times New Roman" w:hAnsi="Times New Roman" w:eastAsiaTheme="minorHAnsi"/>
          <w:color w:val="auto"/>
          <w:sz w:val="24"/>
          <w:szCs w:val="24"/>
          <w:lang w:eastAsia="en-US"/>
        </w:rPr>
        <w:t xml:space="preserve"> статьи 51 Градостроительного кодекса, либо отсутствие документов, предусмотренных </w:t>
      </w:r>
      <w:r>
        <w:rPr>
          <w:rFonts w:eastAsia="Calibri" w:ascii="Times New Roman" w:hAnsi="Times New Roman" w:eastAsiaTheme="minorHAnsi"/>
          <w:color w:val="auto"/>
          <w:sz w:val="24"/>
          <w:szCs w:val="24"/>
          <w:lang w:eastAsia="en-US"/>
        </w:rPr>
        <w:t>частью 7</w:t>
      </w:r>
      <w:r>
        <w:rPr>
          <w:rFonts w:eastAsia="Calibri" w:ascii="Times New Roman" w:hAnsi="Times New Roman" w:eastAsiaTheme="minorHAnsi"/>
          <w:color w:val="auto"/>
          <w:sz w:val="24"/>
          <w:szCs w:val="24"/>
          <w:lang w:eastAsia="en-US"/>
        </w:rPr>
        <w:t xml:space="preserve"> статьи 51 Градостроительного кодекса,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 недостоверность сведений, указанных в уведомлении о переходе прав на земельный участок, права пользования недрами, об образовании земельного участка;</w:t>
      </w:r>
    </w:p>
    <w:p>
      <w:pPr>
        <w:pStyle w:val="ConsPlus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3)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21.7 статьи 51 Градостроительного кодекса.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Градостроительного кодекса;</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плана земельного участка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p>
    <w:p>
      <w:pPr>
        <w:pStyle w:val="ConsPlus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строительство, в случае, предусмотренном частью 21.7 статьи 51 Градостроительного кодекса, или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6) 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p>
    <w:p>
      <w:pPr>
        <w:pStyle w:val="Normal"/>
        <w:spacing w:lineRule="auto" w:line="240" w:before="0" w:after="0"/>
        <w:ind w:left="0" w:right="0" w:firstLine="567"/>
        <w:jc w:val="both"/>
        <w:rPr>
          <w:color w:val="auto"/>
          <w:sz w:val="24"/>
          <w:szCs w:val="24"/>
        </w:rPr>
      </w:pPr>
      <w:r>
        <w:rPr>
          <w:rFonts w:eastAsia="Calibri" w:ascii="Times New Roman" w:hAnsi="Times New Roman" w:eastAsiaTheme="minorHAnsi"/>
          <w:color w:val="auto"/>
          <w:sz w:val="24"/>
          <w:szCs w:val="24"/>
          <w:lang w:eastAsia="en-US"/>
        </w:rPr>
        <w:t>7) 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 в соответствии с требованиями части 5 статьи 52 Градостроительного кодекса, в случае, если внесение изменений в разрешение на строительство связано с продлением срока действия разрешения на строительство. В этом случае уполномоченный на выдачу разрешений на строительство орган местного самоуправления обязан запросить такую информацию в соответствующих органе государственной власти или органе местного самоуправления,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8)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2.7.4.</w:t>
        <w:tab/>
        <w:t>Отказ в выдаче разрешения на строительство может быть обжалован в судебном порядке.</w:t>
      </w:r>
    </w:p>
    <w:p>
      <w:pPr>
        <w:pStyle w:val="Normal"/>
        <w:spacing w:lineRule="auto" w:line="240" w:before="0" w:after="0"/>
        <w:ind w:left="0" w:right="0" w:firstLine="567"/>
        <w:jc w:val="left"/>
        <w:rPr>
          <w:rFonts w:ascii="Times New Roman" w:hAnsi="Times New Roman"/>
          <w:color w:val="auto"/>
          <w:sz w:val="24"/>
          <w:szCs w:val="24"/>
        </w:rPr>
      </w:pPr>
      <w:r>
        <w:rPr>
          <w:rFonts w:ascii="Times New Roman" w:hAnsi="Times New Roman"/>
          <w:color w:val="auto"/>
          <w:sz w:val="24"/>
          <w:szCs w:val="24"/>
        </w:rPr>
        <w:t>2.8. Порядок, размер и основания взимания государственной пошлины или иной платы за предоставление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Муниципальная услуга оказывается без взимания платы.</w:t>
      </w:r>
    </w:p>
    <w:p>
      <w:pPr>
        <w:pStyle w:val="ConsPlusNormal"/>
        <w:spacing w:lineRule="auto" w:line="240" w:before="0" w:after="0"/>
        <w:ind w:left="0" w:right="0" w:firstLine="567"/>
        <w:jc w:val="left"/>
        <w:rPr>
          <w:rFonts w:ascii="Times New Roman" w:hAnsi="Times New Roman"/>
          <w:color w:val="auto"/>
          <w:sz w:val="24"/>
          <w:szCs w:val="24"/>
        </w:rPr>
      </w:pPr>
      <w:r>
        <w:rPr>
          <w:rFonts w:ascii="Times New Roman" w:hAnsi="Times New Roman"/>
          <w:color w:val="auto"/>
          <w:sz w:val="24"/>
          <w:szCs w:val="24"/>
        </w:rPr>
        <w:t>2.9. Срок и порядок регистрации заявления о предоставлении муниципальной услуги, в том числе в электронной форме</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2.9.1. Заявление о предоставлении муниципальной услуги и прилагаемые к нему документы подаются заявителем в ОКС либо в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Порядок приема заявления и прилагаемых к нему документов сотрудниками МФЦ, а также порядок передачи принятых документов в ОКС регулируется Регламентом деятельности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При поступлении заявления из МФЦ оно регистрируется специалистом ОКС по правилам делопроизводства.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2.9.2. Срок регистрации заявления о предоставлении муниципальной услуги составляет не более 15 минут.</w:t>
      </w:r>
    </w:p>
    <w:p>
      <w:pPr>
        <w:pStyle w:val="Normal"/>
        <w:spacing w:lineRule="auto" w:line="240" w:before="0" w:after="0"/>
        <w:ind w:left="0" w:right="0" w:firstLine="567"/>
        <w:jc w:val="left"/>
        <w:rPr>
          <w:rFonts w:ascii="Times New Roman" w:hAnsi="Times New Roman"/>
          <w:color w:val="auto"/>
          <w:sz w:val="24"/>
          <w:szCs w:val="24"/>
        </w:rPr>
      </w:pPr>
      <w:r>
        <w:rPr>
          <w:rFonts w:eastAsia="Calibri" w:ascii="Times New Roman" w:hAnsi="Times New Roman"/>
          <w:color w:val="auto"/>
          <w:sz w:val="24"/>
          <w:szCs w:val="24"/>
          <w:lang w:eastAsia="en-US"/>
        </w:rPr>
        <w:t>2.10.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и информации о порядке предоставления таких услуг.</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2.10.1.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2.10.2.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 условия для беспрепятственного доступа к объекту (зданию, помещению), в котором предоставляется муниципальная услуга;</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3) сопровождение инвалидов, имеющих стойкие расстройства функции зрения и самостоятельного передвижения;</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w:t>
      </w:r>
      <w:r>
        <w:rPr>
          <w:rFonts w:ascii="Times New Roman" w:hAnsi="Times New Roman"/>
          <w:color w:val="auto"/>
          <w:sz w:val="24"/>
          <w:szCs w:val="24"/>
        </w:rPr>
        <w:t>в которых предоставляется муниципальная (государственная) услуга, с учетом ограничений их жизнедеятельности;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6) допуск сурдопереводчика и тифлосурдопереводчика;</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№386н «Об утверждении формы документа, подтверждающего специальное обучение собаки-проводника, и порядка его выдачи»;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8) оказание инвалидам помощи в преодолении барьеров, мешающих получению ими муниципальной услуги наравне с другими лицами.</w:t>
      </w:r>
    </w:p>
    <w:p>
      <w:pPr>
        <w:pStyle w:val="Normal"/>
        <w:widowControl w:val="false"/>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r>
        <w:rPr>
          <w:rFonts w:ascii="Times New Roman" w:hAnsi="Times New Roman"/>
          <w:color w:val="auto"/>
          <w:sz w:val="24"/>
          <w:szCs w:val="24"/>
        </w:rPr>
        <w:t>.</w:t>
      </w:r>
    </w:p>
    <w:p>
      <w:pPr>
        <w:pStyle w:val="Normal"/>
        <w:spacing w:lineRule="auto" w:line="240" w:before="0" w:after="0"/>
        <w:ind w:left="0" w:right="0" w:firstLine="567"/>
        <w:jc w:val="left"/>
        <w:rPr>
          <w:rFonts w:ascii="Times New Roman" w:hAnsi="Times New Roman"/>
          <w:color w:val="auto"/>
          <w:sz w:val="24"/>
          <w:szCs w:val="24"/>
        </w:rPr>
      </w:pPr>
      <w:r>
        <w:rPr>
          <w:rFonts w:eastAsia="Calibri" w:ascii="Times New Roman" w:hAnsi="Times New Roman"/>
          <w:color w:val="auto"/>
          <w:sz w:val="24"/>
          <w:szCs w:val="24"/>
          <w:lang w:eastAsia="en-US"/>
        </w:rPr>
        <w:t>2.11. Показатели доступности и качества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2.11.1. ОКС посредством соблюдения сроков предоставления муниципальной услуги, а также порядка предоставления муниципальной</w:t>
      </w:r>
      <w:r>
        <w:rPr>
          <w:rFonts w:ascii="Times New Roman" w:hAnsi="Times New Roman"/>
          <w:color w:val="auto"/>
          <w:sz w:val="24"/>
          <w:szCs w:val="24"/>
        </w:rPr>
        <w:t xml:space="preserve"> услуги, установленных настоящим регламентом, обеспечивает качество и доступность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Заявителям обеспечивается возможность получения информации о порядке предоставления муниципальной услуги на официальном сайте администрации Шарангского муниципального района в информационно-телекоммуникационной сети "Интернет" и на Едином портале государственных и муниципальных услуг и на Портале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2.11.2. Показатели доступности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обеспечение предоставления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размещение информации о порядке предоставления муниципальной услуги на официальном сайте администрации;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наличие информации о графике работы ОКС,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оказание услуги бесплатно.</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Показатели качества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соответствие требованиям регламента;</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соблюдение сроков предоставления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наличие (отсутствие) обоснованных жалоб.</w:t>
      </w:r>
    </w:p>
    <w:p>
      <w:pPr>
        <w:pStyle w:val="ConsPlusNormal"/>
        <w:spacing w:lineRule="auto" w:line="240" w:before="0" w:after="0"/>
        <w:ind w:left="0" w:right="0" w:firstLine="567"/>
        <w:jc w:val="left"/>
        <w:rPr>
          <w:rFonts w:ascii="Times New Roman" w:hAnsi="Times New Roman"/>
          <w:color w:val="auto"/>
          <w:sz w:val="24"/>
          <w:szCs w:val="24"/>
        </w:rPr>
      </w:pPr>
      <w:r>
        <w:rPr>
          <w:rFonts w:ascii="Times New Roman" w:hAnsi="Times New Roman"/>
          <w:color w:val="auto"/>
          <w:sz w:val="24"/>
          <w:szCs w:val="24"/>
        </w:rPr>
        <w:t>2.12. Иные требования, в том числе учитывающие особенности предоставления муниципальной услуги в электронной форме</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2.12.1. Перевод муниципальной услуги в электронный вид предоставляет заявителям следующие возможности: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 получение информации об услуге на Едином портале государственных и муниципальных услуг и на Портале государственных и муниципальных услуг Нижегородской области;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 копирование форм заявления и иных документов, необходимых для получения услуги, заполнение этих форм в электронном виде;</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3) представление документов в электронном виде через Единый портал государственных и муниципальных услуг и на Портале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2.12.2. При обращении заявителя(ей) в электронной форме за получением муниципальной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государственной или муниципальной услуги либо порядок выдачи документа, включаемого в пакет документов.</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случаях, если указанными федеральными законами используемый вид электронной подписи не установлен, вид электронной подписи определяется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РФ от 25.06.2012 N 634.</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Normal"/>
        <w:widowControl/>
        <w:numPr>
          <w:ilvl w:val="0"/>
          <w:numId w:val="0"/>
        </w:numPr>
        <w:suppressAutoHyphens w:val="true"/>
        <w:overflowPunct w:val="true"/>
        <w:bidi w:val="0"/>
        <w:spacing w:lineRule="auto" w:line="240" w:before="0" w:after="0"/>
        <w:ind w:left="1134" w:right="1134" w:hanging="0"/>
        <w:jc w:val="center"/>
        <w:outlineLvl w:val="0"/>
        <w:rPr>
          <w:rFonts w:ascii="Times New Roman" w:hAnsi="Times New Roman"/>
          <w:color w:val="auto"/>
          <w:sz w:val="24"/>
          <w:szCs w:val="24"/>
        </w:rPr>
      </w:pPr>
      <w:r>
        <w:rPr>
          <w:rFonts w:eastAsia="Calibri" w:ascii="Times New Roman" w:hAnsi="Times New Roman" w:eastAsiaTheme="minorHAnsi"/>
          <w:color w:val="auto"/>
          <w:sz w:val="24"/>
          <w:szCs w:val="24"/>
          <w:lang w:eastAsia="en-US"/>
        </w:rPr>
        <w:t>III. СОСТАВ, ПОСЛЕДОВАТЕЛЬНОСТЬ И СРОКИ ВЫПОЛНЕНИЯ АДМИНИСТРАТИВНЫХ ПРОЦЕДУР, ТРЕБОВАНИЯ К ПОРЯДКУ ИХ ВЫПОЛНЕНИЯ</w:t>
      </w:r>
    </w:p>
    <w:p>
      <w:pPr>
        <w:pStyle w:val="ConsPlusNormal"/>
        <w:widowControl w:val="false"/>
        <w:suppressAutoHyphens w:val="true"/>
        <w:overflowPunct w:val="true"/>
        <w:bidi w:val="0"/>
        <w:spacing w:lineRule="auto" w:line="240" w:before="0" w:after="0"/>
        <w:ind w:left="1134" w:right="1134" w:hanging="0"/>
        <w:jc w:val="center"/>
        <w:rPr>
          <w:rFonts w:ascii="Times New Roman" w:hAnsi="Times New Roman"/>
          <w:color w:val="auto"/>
          <w:sz w:val="24"/>
          <w:szCs w:val="24"/>
        </w:rPr>
      </w:pPr>
      <w:r>
        <w:rPr>
          <w:rFonts w:ascii="Times New Roman" w:hAnsi="Times New Roman"/>
          <w:color w:val="auto"/>
          <w:sz w:val="24"/>
          <w:szCs w:val="24"/>
        </w:rPr>
        <w:t>3.1. Состав административных процедур по предоставлению муниципальной услуги при непосредственном обращении в ОКС.</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3.1.1. Административные процедуры по предоставлению муниципальной услуги включают в себя:</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прием и регистрация заявления о предоставлении муниципальной услуги и документов при непосредственном обращении в ОКС;</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формирование и направление межведомственных запросов, получение документов по каналам межведомственного взаимодействия;</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подготовка разрешения на строительство или отказа в выдаче разрешения на строительство;</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выдача результата предоставления муниципальной услуги заявителю;</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направление копии разрешения на строительство в уполномоченные органы в соответствии с пп. 15, 15.1 статьи 51 Градостроительного кодекса;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3.1.2.</w:t>
        <w:tab/>
        <w:t>Состав и описание административных процедур по внесению изменений в разрешение на строительство (в том числе, продлению срока действия разрешения на строительство) рассмотрен в п.3.7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3.1.4.</w:t>
        <w:tab/>
        <w:t>Особенности выполнения административных процедур при получении услуги в МФЦ рассмотрены в п.3.8.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Normal"/>
        <w:widowControl/>
        <w:numPr>
          <w:ilvl w:val="0"/>
          <w:numId w:val="0"/>
        </w:numPr>
        <w:suppressAutoHyphens w:val="true"/>
        <w:overflowPunct w:val="true"/>
        <w:bidi w:val="0"/>
        <w:spacing w:lineRule="auto" w:line="240" w:before="0" w:after="0"/>
        <w:ind w:left="1134" w:right="1134" w:hanging="0"/>
        <w:jc w:val="center"/>
        <w:outlineLvl w:val="1"/>
        <w:rPr>
          <w:rFonts w:ascii="Times New Roman" w:hAnsi="Times New Roman"/>
          <w:color w:val="auto"/>
          <w:sz w:val="24"/>
          <w:szCs w:val="24"/>
        </w:rPr>
      </w:pPr>
      <w:r>
        <w:rPr>
          <w:rFonts w:ascii="Times New Roman" w:hAnsi="Times New Roman"/>
          <w:color w:val="auto"/>
          <w:sz w:val="24"/>
          <w:szCs w:val="24"/>
        </w:rPr>
        <w:t>3.2. Прием и регистрация заявления о предоставлении муниципальной услуги и документов в ОКС</w:t>
      </w:r>
      <w:r>
        <w:rPr>
          <w:rFonts w:eastAsia="Calibri" w:ascii="Times New Roman" w:hAnsi="Times New Roman"/>
          <w:color w:val="auto"/>
          <w:sz w:val="24"/>
          <w:szCs w:val="24"/>
          <w:lang w:eastAsia="en-US"/>
        </w:rPr>
        <w:t>.</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3.2.1. Основанием для начала административной процедуры является подача заявления о предоставлении муниципальной услуги и прилагающихся документов, указанных в п. 2.6.1 настоящего Регламента, в ОКС. </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3.2.2. Содержание административной процедуры.</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Специалист ОКС осуществляет прием заявления и документов регистрирует их. </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При получении письменного обращения, содержащего нецензурные либо оскорбительные выражения, угрозы в адрес муниципальной служащих, а также членов их семей, ОКС вправе оставить обращение без ответа по существу поставленных в нем вопросов и сообщить заявителю, направившему заявление, о недопустимости использования ненормативной лексики. </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В случае если текст письменного обращения не поддается прочтению, оно остается без рассмотрения,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3.2.3. Срок выполнения административной процедуры в случае личного обращения в ОКС - 15 минут. В других случаях срок регистрации заявления – в течение 1 дня с момента получения заявления ОКС.</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3.2.4.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3.2.5. Результатом выполнения административной процедуры является регистрация заявления.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3.2.6. Способ фиксации результата административной процедуры - регистрация заявления в журнале регистрации.</w:t>
      </w:r>
    </w:p>
    <w:p>
      <w:pPr>
        <w:pStyle w:val="Normal"/>
        <w:spacing w:lineRule="auto" w:line="240" w:before="0" w:after="0"/>
        <w:ind w:left="0" w:right="0" w:firstLine="567"/>
        <w:jc w:val="both"/>
        <w:rPr>
          <w:rFonts w:ascii="Times New Roman" w:hAnsi="Times New Roman" w:eastAsia="Calibri"/>
          <w:color w:val="auto"/>
          <w:sz w:val="24"/>
          <w:szCs w:val="24"/>
          <w:lang w:eastAsia="en-US"/>
        </w:rPr>
      </w:pPr>
      <w:r>
        <w:rPr>
          <w:rFonts w:eastAsia="Calibri" w:ascii="Times New Roman" w:hAnsi="Times New Roman"/>
          <w:color w:val="auto"/>
          <w:sz w:val="24"/>
          <w:szCs w:val="24"/>
          <w:lang w:eastAsia="en-US"/>
        </w:rPr>
      </w:r>
    </w:p>
    <w:p>
      <w:pPr>
        <w:pStyle w:val="Normal"/>
        <w:widowControl/>
        <w:suppressAutoHyphens w:val="true"/>
        <w:overflowPunct w:val="true"/>
        <w:bidi w:val="0"/>
        <w:spacing w:lineRule="auto" w:line="240" w:before="0" w:after="0"/>
        <w:ind w:left="1134" w:right="1134" w:hanging="0"/>
        <w:jc w:val="center"/>
        <w:rPr>
          <w:rFonts w:ascii="Times New Roman" w:hAnsi="Times New Roman"/>
          <w:color w:val="auto"/>
          <w:sz w:val="24"/>
          <w:szCs w:val="24"/>
        </w:rPr>
      </w:pPr>
      <w:r>
        <w:rPr>
          <w:rFonts w:eastAsia="Calibri" w:ascii="Times New Roman" w:hAnsi="Times New Roman"/>
          <w:color w:val="auto"/>
          <w:sz w:val="24"/>
          <w:szCs w:val="24"/>
          <w:lang w:eastAsia="en-US"/>
        </w:rPr>
        <w:t>3.3. Формирование и направление межведомственных запросов, получение документов по каналам межведомственного взаимодействия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3.3.1. Основанием для начала административной процедуры является поступление специалисту ОКС заявления с пакетом документов.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3.3.2. Содержание административной процедуры.</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Специалист ОКС проверяет представленный пакет документов и в случае отсутствия документов, определенных подпунктом 2.6.2. настоящего Регламента, в течение двух рабочих дней, следующих за днем регистрации заявления, осуществляет подготовку межведомственных запросов о предоставлении необходимых сведений в уполномоченные органы: государственные органы, органы местного самоуправления и иные органы, участвующие в предоставлении муниципальных услуг. </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Специалист контролирует получение сведений в соответствии с направленными запросами.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3.3.3. Срок исполнения административной процедуры 2 дня с момента регистрации заявления.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3.3.5. Результатом выполнения административной процедуры является получение от уполномоченных органов по системе межведомственного взаимодействия запрашиваемых документов, необходимых для оказания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3.3.6. Способ фиксации результата административной процедуры по формированию и направлению в уполномоченные органы по системе межведомственного электронного взаимодействия межведомственных запросов о предоставлении соответствующих сведений - регистрация в ОКС от уполномоченных органов по системе межведомственного взаимодействия соответствующих сведений.</w:t>
      </w:r>
    </w:p>
    <w:p>
      <w:pPr>
        <w:pStyle w:val="Normal"/>
        <w:spacing w:lineRule="auto" w:line="240" w:before="0" w:after="0"/>
        <w:ind w:left="0" w:right="0" w:firstLine="567"/>
        <w:jc w:val="both"/>
        <w:rPr>
          <w:rFonts w:ascii="Times New Roman" w:hAnsi="Times New Roman" w:eastAsia="Calibri" w:eastAsiaTheme="minorHAnsi"/>
          <w:color w:val="auto"/>
          <w:sz w:val="24"/>
          <w:szCs w:val="24"/>
          <w:lang w:eastAsia="en-US"/>
        </w:rPr>
      </w:pPr>
      <w:r>
        <w:rPr>
          <w:rFonts w:eastAsia="Calibri" w:eastAsiaTheme="minorHAnsi" w:ascii="Times New Roman" w:hAnsi="Times New Roman"/>
          <w:color w:val="auto"/>
          <w:sz w:val="24"/>
          <w:szCs w:val="24"/>
          <w:lang w:eastAsia="en-US"/>
        </w:rPr>
      </w:r>
    </w:p>
    <w:p>
      <w:pPr>
        <w:pStyle w:val="Normal"/>
        <w:widowControl/>
        <w:suppressAutoHyphens w:val="true"/>
        <w:overflowPunct w:val="true"/>
        <w:bidi w:val="0"/>
        <w:spacing w:lineRule="auto" w:line="240" w:before="0" w:after="0"/>
        <w:ind w:left="1134" w:right="1134" w:hanging="0"/>
        <w:jc w:val="center"/>
        <w:rPr>
          <w:rFonts w:ascii="Times New Roman" w:hAnsi="Times New Roman"/>
          <w:color w:val="auto"/>
          <w:sz w:val="24"/>
          <w:szCs w:val="24"/>
        </w:rPr>
      </w:pPr>
      <w:r>
        <w:rPr>
          <w:rFonts w:eastAsia="Calibri" w:ascii="Times New Roman" w:hAnsi="Times New Roman"/>
          <w:color w:val="auto"/>
          <w:sz w:val="24"/>
          <w:szCs w:val="24"/>
          <w:lang w:eastAsia="en-US"/>
        </w:rPr>
        <w:t>3.4. Подготовка разрешения на строительство или отказа в выдаче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3.4.1.</w:t>
        <w:tab/>
        <w:t>Основанием для начала административной процедуры является получение специалистом ОКС зарегистрированного заявления с сформированным пакетом документов.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3.4.2. Содержание административного 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Ответственный специалист ОКС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В случае выдачи лицу разрешения на отклонение от предельных параметров разрешенного строительства, реконструкции проводится проверка проектной документации на соответствие требованиям, установленным в разрешении на отклонение от предельных параметров разрешенного строительства, реконструкции.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По результатам рассмотрения заявления застройщика и прилагаемых к нему документов (в том числе, полученных по межведомственным запросам) специалист ОКСа готовит проект разрешения на строительство, либо мотивированного отказа в выдаче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Проект разрешения на строительство направляется главе администрации Шарангского муниципального района для подписания.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В случае если имеются основания для отказа в предоставлении муниципальной услуги, предусмотренные пунктом 2.7.1. настоящего Регламента, специалистом ОКС готовится проект письменного отказа, который передается для рассмотрения заведующему ОКС. К проекту прилагаются документы, на основании которых он был подготовлен. Отказ должен содержать основания, по которым запрашиваемое разрешение не может быть предоставлено, дату принятия решения о таком отказе, а также порядок обжалования такого решения (в судебном порядке).</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Заведующий ОКС рассматривает проект письменного отказа в предоставлении муниципальной услуги и скомплектованный пакет документов и, в случае отсутствия замечаний, подписывает его.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3.4.3.</w:t>
        <w:tab/>
        <w:t>Срок выполнения административной процедуры в течение 1 дня с момента получения полностью сформированного пакета документов.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3.4.5.</w:t>
        <w:tab/>
        <w:t>Результатом выполнения административной процедуры является разрешение на строительство либо мотивированный отказ в выдаче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3.4.6.</w:t>
        <w:tab/>
        <w:t>Способ фиксации результата административной процедуры отсутствует.</w:t>
      </w:r>
    </w:p>
    <w:p>
      <w:pPr>
        <w:pStyle w:val="Normal"/>
        <w:spacing w:lineRule="auto" w:line="240" w:before="0" w:after="0"/>
        <w:ind w:left="0" w:right="0" w:firstLine="567"/>
        <w:jc w:val="both"/>
        <w:rPr>
          <w:rFonts w:eastAsia="Calibri"/>
          <w:lang w:eastAsia="en-US"/>
        </w:rPr>
      </w:pPr>
      <w:r>
        <w:rPr>
          <w:rFonts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eastAsia="Calibri" w:ascii="Times New Roman" w:hAnsi="Times New Roman"/>
          <w:color w:val="auto"/>
          <w:sz w:val="24"/>
          <w:szCs w:val="24"/>
          <w:lang w:eastAsia="en-US"/>
        </w:rPr>
        <w:t>3.5.</w:t>
        <w:tab/>
        <w:t>Выдача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3.5.1.</w:t>
        <w:tab/>
        <w:t>Основанием для начала административной процедуры является подписанные уполномоченными лицами разрешение на строительство или письменный отказ в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3.5.2. Содержание административного 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При непосредственном обращении заявителя ОКС специалист ОКС выдает разрешение на строительство в двух экземплярах либо отказ в предоставлении муниципальной услуги либо направляет их заявителю почтовым отправлением. Один экземпляр документа, указанного в п. 3.5.1 настоящего регламента, остается в архиве ОКС.</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3.5.3. Срок исполнения административной процедуры - 1 день с момента подписания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3.5.4.</w:t>
        <w:tab/>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3.5.5.</w:t>
        <w:tab/>
        <w:t>Способ фиксации результата административной процедуры - под роспись в журнале регистрации либо отметка о направлении заявителю.</w:t>
      </w:r>
    </w:p>
    <w:p>
      <w:pPr>
        <w:pStyle w:val="Normal"/>
        <w:spacing w:lineRule="auto" w:line="240" w:before="0" w:after="0"/>
        <w:ind w:left="0" w:right="0" w:firstLine="567"/>
        <w:jc w:val="center"/>
        <w:rPr>
          <w:rFonts w:eastAsia="Calibri"/>
          <w:lang w:eastAsia="en-US"/>
        </w:rPr>
      </w:pPr>
      <w:r>
        <w:rPr>
          <w:rFonts w:ascii="Times New Roman" w:hAnsi="Times New Roman"/>
          <w:color w:val="auto"/>
          <w:sz w:val="24"/>
          <w:szCs w:val="24"/>
        </w:rPr>
      </w:r>
    </w:p>
    <w:p>
      <w:pPr>
        <w:pStyle w:val="Normal"/>
        <w:widowControl/>
        <w:suppressAutoHyphens w:val="true"/>
        <w:overflowPunct w:val="true"/>
        <w:bidi w:val="0"/>
        <w:spacing w:lineRule="auto" w:line="240" w:before="0" w:after="0"/>
        <w:ind w:left="1134" w:right="1134" w:hanging="0"/>
        <w:jc w:val="center"/>
        <w:rPr>
          <w:rFonts w:ascii="Times New Roman" w:hAnsi="Times New Roman"/>
          <w:color w:val="auto"/>
          <w:sz w:val="24"/>
          <w:szCs w:val="24"/>
        </w:rPr>
      </w:pPr>
      <w:r>
        <w:rPr>
          <w:rFonts w:eastAsia="Calibri" w:ascii="Times New Roman" w:hAnsi="Times New Roman"/>
          <w:color w:val="auto"/>
          <w:sz w:val="24"/>
          <w:szCs w:val="24"/>
          <w:lang w:eastAsia="en-US"/>
        </w:rPr>
        <w:t>3.6.</w:t>
        <w:tab/>
        <w:t>Направление копии разрешения на строительство в уполномоченные органы в соответствии с пп. 15, 15.1 статьи 51 Градостроительного кодекса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3.6.1.</w:t>
        <w:tab/>
        <w:t>Основанием для начала административной процедуры является наличие подписанного уполномоченным лицом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3.6.2.</w:t>
        <w:tab/>
        <w:t>Содержание административной процедуры.</w:t>
      </w:r>
    </w:p>
    <w:p>
      <w:pPr>
        <w:pStyle w:val="Normal"/>
        <w:spacing w:lineRule="auto" w:line="240" w:before="0" w:after="0"/>
        <w:ind w:left="0" w:right="0" w:firstLine="567"/>
        <w:jc w:val="both"/>
        <w:rPr>
          <w:color w:val="auto"/>
          <w:sz w:val="24"/>
          <w:szCs w:val="24"/>
        </w:rPr>
      </w:pPr>
      <w:r>
        <w:rPr>
          <w:rFonts w:eastAsia="Calibri" w:ascii="Times New Roman" w:hAnsi="Times New Roman"/>
          <w:color w:val="auto"/>
          <w:sz w:val="24"/>
          <w:szCs w:val="24"/>
          <w:lang w:eastAsia="en-US"/>
        </w:rPr>
        <w:t>Специалист ОКСа направляет копию разрешения на строительство в федеральный орган исполнительной власти, уполномоченный на осуществление государственного строительного надзора, в случае, если выдано разрешение на строительство объектов капитального строительства, указанных в пункте 5.1 статьи 6 Градостроительного кодекса, или в орган исполнительной власти субъекта Российской Федерации, уполномоченный на осуществление государственного строительного надзора, в случае, если выдано разрешение на строительство иных объектов капитального строительства.</w:t>
      </w:r>
    </w:p>
    <w:p>
      <w:pPr>
        <w:pStyle w:val="Normal"/>
        <w:spacing w:lineRule="auto" w:line="240" w:before="0" w:after="0"/>
        <w:ind w:left="0" w:right="0" w:firstLine="567"/>
        <w:jc w:val="both"/>
        <w:rPr>
          <w:color w:val="auto"/>
          <w:sz w:val="24"/>
          <w:szCs w:val="24"/>
        </w:rPr>
      </w:pPr>
      <w:r>
        <w:rPr>
          <w:rFonts w:eastAsia="Calibri" w:ascii="Times New Roman" w:hAnsi="Times New Roman"/>
          <w:color w:val="auto"/>
          <w:sz w:val="24"/>
          <w:szCs w:val="24"/>
          <w:lang w:eastAsia="en-US"/>
        </w:rPr>
        <w:t>В случаях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специалист ОКСа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3.6.3.</w:t>
        <w:tab/>
        <w:t>Срок исполнения процедуры – 3 рабочих дня со дня выдачи разрешения на строительство.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3.6.5.</w:t>
        <w:tab/>
        <w:t xml:space="preserve"> Результатом административной процедуры является направленная копия разрешения на строительство в уполномоченные органы, предусмотренные п.3.6.2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3.6.6. Способ фиксации результата административной процедуры – отметка в журнале регистрации о направлении копии разрешения на строительство в органы, предусмотренные п.3.6.2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t xml:space="preserve">3.7. </w:t>
      </w:r>
      <w:r>
        <w:rPr>
          <w:rFonts w:eastAsia="Calibri" w:ascii="Times New Roman" w:hAnsi="Times New Roman"/>
          <w:color w:val="auto"/>
          <w:sz w:val="24"/>
          <w:szCs w:val="24"/>
          <w:lang w:eastAsia="en-US"/>
        </w:rPr>
        <w:t>Состав и описание административных процедур по внесению изменений в разрешение на строительство (в том числе, продлению срока действия разрешения на строительство)</w:t>
      </w:r>
    </w:p>
    <w:p>
      <w:pPr>
        <w:pStyle w:val="Normal"/>
        <w:spacing w:lineRule="auto" w:line="240" w:before="0" w:after="0"/>
        <w:ind w:left="0" w:right="0" w:firstLine="567"/>
        <w:jc w:val="center"/>
        <w:rPr>
          <w:rFonts w:ascii="Times New Roman" w:hAnsi="Times New Roman" w:eastAsia="Calibri"/>
          <w:color w:val="auto"/>
          <w:sz w:val="24"/>
          <w:szCs w:val="24"/>
          <w:lang w:eastAsia="en-US"/>
        </w:rPr>
      </w:pPr>
      <w:r>
        <w:rPr>
          <w:rFonts w:eastAsia="Calibri" w:ascii="Times New Roman" w:hAnsi="Times New Roman"/>
          <w:color w:val="auto"/>
          <w:sz w:val="24"/>
          <w:szCs w:val="24"/>
          <w:lang w:eastAsia="en-US"/>
        </w:rPr>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3.7.1.</w:t>
        <w:tab/>
        <w:t>Административные процедуры по внесению изменений в разрешение на строительство, в том числе, продлению срока действия разрешения на строительство (далее – внесение изменений), включают в себя:</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прием и регистрация заявления о внесении изменений в разрешение на строительство либо уведомления в соответствии с частью 21.10 статьи 51 Градостроительного кодекса при непосредственном обращении в ОКС;</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формирование и направление межведомственных запросов, получение документов по каналам межведомственного взаимодействия;</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внесение изменений в разрешение на строительство, либо отказ в оказании муниципальной услуги;</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выдача результата предоставления муниципальной услуги заявителю;</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 </w:t>
      </w:r>
      <w:r>
        <w:rPr>
          <w:rFonts w:eastAsia="Calibri" w:ascii="Times New Roman" w:hAnsi="Times New Roman"/>
          <w:color w:val="auto"/>
          <w:sz w:val="24"/>
          <w:szCs w:val="24"/>
          <w:lang w:eastAsia="en-US"/>
        </w:rPr>
        <w:t>направление копии разрешения на строительство с внесенными изменениями в уполномоченные органы в соответствии с п.21.16 статьи 51 Градостроительного кодекса.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3.7.2. Прием и регистрация заявления о внесении изменений в разрешение на строительство либо уведомления в соответствии с частью 21.10 статьи 51 Градостроительного кодекса при непосредственном обращении в ОКС.</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Основанием для исполнения административной процедуры является получение специалистом ОКС от застройщика уведомления, либо заявления в соответствии с п.2.6.6 и п.2.6.7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Административная процедура осуществляется в соответствии с пп.3.2.2 – 3.2.6.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 Формирование и направление межведомственных запросов, получение документов по каналам межведомственного взаимодействия.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3.7.3.1. Основанием для начала административной процедуры является поступление специалисту ОКС уведомления, либо заявления в соответствии с п.2.6.6 и п.2.6.7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3.7.3.2. Содержание административной процедуры.</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В случае если документы, предусмотренные </w:t>
      </w:r>
      <w:r>
        <w:rPr>
          <w:rFonts w:eastAsia="Calibri" w:ascii="Times New Roman" w:hAnsi="Times New Roman"/>
          <w:color w:val="auto"/>
          <w:sz w:val="24"/>
          <w:szCs w:val="24"/>
          <w:lang w:eastAsia="en-US"/>
        </w:rPr>
        <w:t>п.2.6.6 и п.2.6.7 настоящего Регламента</w:t>
      </w:r>
      <w:r>
        <w:rPr>
          <w:rFonts w:eastAsia="Calibri" w:ascii="Times New Roman" w:hAnsi="Times New Roman" w:eastAsiaTheme="minorHAnsi"/>
          <w:color w:val="auto"/>
          <w:sz w:val="24"/>
          <w:szCs w:val="24"/>
          <w:lang w:eastAsia="en-US"/>
        </w:rPr>
        <w:t>, не представлены заявителем, специалист ОКС запрашивает такие документы или сведения, содержащиеся в них, в соответствующих органах государственной власти или органах местного самоуправления, в том числе по каналом межведомственного взаимодействия.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Специалист контролирует получение сведений в соответствии с направленными запросами.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3.7.3.3. Срок исполнения административной процедуры 3 дня с момента, указанного в п.3.7.2.</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3.7.3.5 Результатом выполнения административной процедуры является получение от уполномоченных органов по системе межведомственного взаимодействия запрашиваемых документов, необходимых для оказания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3.7.3.6. Способ фиксации результата административной процедуры по формированию и направлению в уполномоченные органы по системе межведомственного электронного взаимодействия межведомственных запросов о предоставлении соответствующих сведений - регистрация в ОКС от уполномоченных органов по системе межведомственного взаимодействия соответствующих сведений.</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w:t>
        <w:tab/>
        <w:t>Внесение изменений в разрешение на строительство, либо отказ в оказании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3.7.4.1. Основанием для начала административной процедуры является зарегистрированное уведомление или заявление о внесении изменений в разрешение на строительство специалисту ОКС с необходимым пакетом документов.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3.7.4.2. Содержание административной процедуры.</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В случае отсутствия оснований для отказа, предусмотренных пп.2.7.3 настоящего Регламента, специалист ОКС вносит изменения в разрешение на строительство. В случае выявления оснований для отказа во внесении изменений в разрешение на строительство, специалист готовит проект мотивированного отказа.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Подготовленное разрешение на строительство с внесенными изменениями направляется в соответствующие структурные подразделения Администрации Шарангского муниципального района для согласования, и после процедуры согласований направляется главе администрации Шарангского муниципального района для подписания.</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В случае если имеются основания для отказа в предоставлении муниципальной услуги, предусмотренные пунктом 2.7.1. настоящего Регламента, специалистом ОКС готовится проект письменного отказа, который передается для рассмотрения заведующему ОКС. К проекту прилагаются документы, на основании которых он был подготовлен. Отказ должен содержать основания, по которым запрашиваемое разрешение не может быть предоставлено, дату принятия решения о таком отказе, а также порядок обжалования такого решения (в судебном порядке).</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Заведующий ОКС рассматривает проект письменного отказа в предоставлении муниципальной услуги и скомплектованный пакет документов и, в случае отсутствия замечаний, подписывает его.</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3.7.4.3. Срок исполнения административной процедуры 2 дня с момента, указанного в п.3.7.3.</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3.7.4.5 Результатом выполнения административной процедуры является разрешение на строительство с внесенными изменениями либо мотивированный отказ в оказании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3.7.4.6. Способ фиксации результата административной процедуры – отметка о внесении изменений в разрешении на строительство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3.7.5.</w:t>
        <w:tab/>
        <w:t>Выдача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Основанием для начала выполнения административной процедуры является разрешение на строительство с внесенными изменениями либо мотивированный отказ в оказании услуги</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Административная процедура осуществляется в соответствии с пп. 3.5.2 – 3.5.5 Регламента.</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w:t>
        <w:tab/>
        <w:t>Направление копии разрешения на строительство с внесенными изменениями в уполномоченные органы в соответствии с п. 21.16 статьи 51 Градостроительного кодекса.</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3.7.6.1. Основанием для начала административной процедуры является внесение изменений в разрешение на строительство.</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3.7.6.2.</w:t>
        <w:tab/>
        <w:t xml:space="preserve">Содержание административной процедуры. </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 xml:space="preserve">Специалист ОКСа, ответственный за внесение изменений в разрешения на строительство, </w:t>
      </w:r>
      <w:r>
        <w:rPr>
          <w:rFonts w:eastAsia="Calibri" w:ascii="Times New Roman" w:hAnsi="Times New Roman" w:eastAsiaTheme="minorHAnsi"/>
          <w:color w:val="auto"/>
          <w:sz w:val="24"/>
          <w:szCs w:val="24"/>
          <w:lang w:eastAsia="en-US"/>
        </w:rPr>
        <w:t>уведомляют о таких изменениях:</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1) федеральный орган исполнительной власти или орган исполнительной власти субъекта Российской Федерации, осуществляющие государственный строительный надзор при строительстве, реконструкции объекта капитального строительства, в разрешение на строительство которого внесено изменение;</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2) орган регистрации прав;</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eastAsiaTheme="minorHAnsi"/>
          <w:color w:val="auto"/>
          <w:sz w:val="24"/>
          <w:szCs w:val="24"/>
          <w:lang w:eastAsia="en-US"/>
        </w:rPr>
        <w:t>3) застройщика в случае внесения изменений в разрешение на строительство.</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3.7.6.3.</w:t>
        <w:tab/>
        <w:t>Срок исполнения процедуры - в течение пяти рабочих дней со дня внесения изменений в разрешение на строительство.</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3.7.6.4.</w:t>
        <w:tab/>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3.7.6.5.</w:t>
        <w:tab/>
        <w:t>Результатом выполнения административной процедуры является направленное уведомление о внесении изменений в разрешение на строительство.</w:t>
      </w:r>
    </w:p>
    <w:p>
      <w:pPr>
        <w:pStyle w:val="Normal"/>
        <w:tabs>
          <w:tab w:val="clear" w:pos="709"/>
          <w:tab w:val="left" w:pos="1701" w:leader="none"/>
        </w:tabs>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3.7.4.6.</w:t>
        <w:tab/>
        <w:t>Способ фиксации результата административной процедуры – отсутствует.</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3.8.</w:t>
        <w:tab/>
      </w:r>
      <w:r>
        <w:rPr>
          <w:rFonts w:eastAsia="Calibri" w:ascii="Times New Roman" w:hAnsi="Times New Roman"/>
          <w:color w:val="auto"/>
          <w:sz w:val="24"/>
          <w:szCs w:val="24"/>
          <w:lang w:eastAsia="en-US"/>
        </w:rPr>
        <w:t>Состав административных процедур по предоставлению муниципальной услуги МФЦ.</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3.8.1.</w:t>
      </w:r>
      <w:r>
        <w:rPr>
          <w:rFonts w:eastAsia="Calibri" w:ascii="Times New Roman" w:hAnsi="Times New Roman"/>
          <w:color w:val="auto"/>
          <w:sz w:val="24"/>
          <w:szCs w:val="24"/>
          <w:lang w:eastAsia="en-US"/>
        </w:rPr>
        <w:t xml:space="preserve"> Административные процедуры по предоставлению муниципальной услуги включают в себя:</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прием и регистрация заявления о предоставлении муниципальной услуги и документов при непосредственном обращении в МФЦ;</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формирование и направление запроса непосредственному исполнителю услуги – ОКС администрации;</w:t>
      </w:r>
    </w:p>
    <w:p>
      <w:pPr>
        <w:pStyle w:val="Normal"/>
        <w:numPr>
          <w:ilvl w:val="0"/>
          <w:numId w:val="7"/>
        </w:numPr>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получение результата оказания услуги от ОКСа и выдача результата предоставления муниципальной услуги МФЦ заявителю.</w:t>
      </w:r>
    </w:p>
    <w:p>
      <w:pPr>
        <w:pStyle w:val="Normal"/>
        <w:spacing w:lineRule="auto" w:line="240" w:before="0" w:after="0"/>
        <w:ind w:left="0" w:right="0" w:firstLine="567"/>
        <w:jc w:val="both"/>
        <w:rPr>
          <w:rFonts w:ascii="Times New Roman" w:hAnsi="Times New Roman" w:cs="Arial"/>
          <w:color w:val="auto"/>
          <w:sz w:val="24"/>
          <w:szCs w:val="24"/>
        </w:rPr>
      </w:pPr>
      <w:r>
        <w:rPr>
          <w:rFonts w:cs="Arial" w:ascii="Times New Roman" w:hAnsi="Times New Roman"/>
          <w:color w:val="auto"/>
          <w:sz w:val="24"/>
          <w:szCs w:val="24"/>
        </w:rPr>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3.8.2.</w:t>
      </w:r>
      <w:r>
        <w:rPr>
          <w:rFonts w:ascii="Times New Roman" w:hAnsi="Times New Roman"/>
          <w:color w:val="auto"/>
          <w:sz w:val="24"/>
          <w:szCs w:val="24"/>
        </w:rPr>
        <w:tab/>
        <w:t>Прием и регистрация заявления о предоставлении муниципальной услуги и документов при непосредственном обращении в МФЦ.</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Основанием для начала административной процедуры является поступление заявления о выдаче или внесении изменений (в том числе, продления) и прилагаемых документов в соответствии с п.2.6.1 настоящего регламента в МФЦ в письменной форме (лично, по почте, по электронной почте, по факсу). Ответственное должностное лицо проводит процедуру регистрации заявления в установленные сроки в соответствии с действующим регламентом деятельности МФЦ. </w:t>
      </w:r>
      <w:r>
        <w:rPr>
          <w:rFonts w:eastAsia="Calibri" w:ascii="Times New Roman" w:hAnsi="Times New Roman"/>
          <w:color w:val="auto"/>
          <w:sz w:val="24"/>
          <w:szCs w:val="24"/>
          <w:lang w:eastAsia="en-US"/>
        </w:rPr>
        <w:t>Критерием принятия решения о приеме и регистрации заявления является наличие заявления о предоставлении муниципальной услуги и документов. Результатом выполнения данной административной процедуры является регистрация заявления сотрудником МФЦ, ответственным за прием и регистрацию заявлений. Способ фиксации результата административной процедуры – в соответствии с действующим регламентом деятельности МФЦ.</w:t>
      </w:r>
    </w:p>
    <w:p>
      <w:pPr>
        <w:pStyle w:val="Normal"/>
        <w:spacing w:lineRule="auto" w:line="240" w:before="0" w:after="0"/>
        <w:ind w:left="0" w:right="0" w:firstLine="567"/>
        <w:jc w:val="both"/>
        <w:rPr>
          <w:rFonts w:ascii="Times New Roman" w:hAnsi="Times New Roman"/>
          <w:color w:val="auto"/>
          <w:sz w:val="24"/>
          <w:szCs w:val="24"/>
        </w:rPr>
      </w:pPr>
      <w:r>
        <w:rPr>
          <w:rFonts w:eastAsia="Calibri" w:ascii="Times New Roman" w:hAnsi="Times New Roman"/>
          <w:color w:val="auto"/>
          <w:sz w:val="24"/>
          <w:szCs w:val="24"/>
          <w:lang w:eastAsia="en-US"/>
        </w:rPr>
        <w:t>3.8.3</w:t>
        <w:tab/>
      </w:r>
      <w:r>
        <w:rPr>
          <w:rFonts w:eastAsia="Calibri" w:ascii="Times New Roman" w:hAnsi="Times New Roman"/>
          <w:color w:val="auto"/>
          <w:sz w:val="24"/>
          <w:szCs w:val="24"/>
          <w:lang w:eastAsia="en-US"/>
        </w:rPr>
        <w:t xml:space="preserve">Формирование и направление запроса непосредственному исполнителю услуги – ОКС администрации. </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Основанием для начала административной процедуры является регистрация заявления и прилагаемых к нему документов</w:t>
      </w:r>
      <w:r>
        <w:rPr>
          <w:rFonts w:eastAsia="Calibri" w:ascii="Times New Roman" w:hAnsi="Times New Roman"/>
          <w:color w:val="auto"/>
          <w:sz w:val="24"/>
          <w:szCs w:val="24"/>
          <w:lang w:eastAsia="en-US"/>
        </w:rPr>
        <w:t xml:space="preserve"> в МФЦ. </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eastAsia="Calibri" w:ascii="Times New Roman" w:hAnsi="Times New Roman"/>
          <w:color w:val="auto"/>
          <w:sz w:val="24"/>
          <w:szCs w:val="24"/>
          <w:lang w:eastAsia="en-US"/>
        </w:rPr>
        <w:t xml:space="preserve">Должностное лицо МФЦ направляет зарегистрированное заявление с пакетом документов в ОКС для исполнения </w:t>
      </w:r>
      <w:r>
        <w:rPr>
          <w:rFonts w:ascii="Times New Roman" w:hAnsi="Times New Roman"/>
          <w:color w:val="auto"/>
          <w:sz w:val="24"/>
          <w:szCs w:val="24"/>
        </w:rPr>
        <w:t>в сроки, установленные в соглашении о взаимодействии между администрацией Шарангского муниципального района и МФЦ. Поступивший в ОКС запрос регистрируется должностным лицом ОКС, ответственным за регистрацию заявлений.</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 xml:space="preserve">Результатом процедуры является получение заявления с пакетом документов от МФЦ ОКСом. </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3.8.4</w:t>
      </w:r>
      <w:r>
        <w:rPr>
          <w:rFonts w:ascii="Times New Roman" w:hAnsi="Times New Roman"/>
          <w:color w:val="auto"/>
          <w:sz w:val="24"/>
          <w:szCs w:val="24"/>
        </w:rPr>
        <w:tab/>
      </w:r>
      <w:r>
        <w:rPr>
          <w:rFonts w:eastAsia="Calibri" w:ascii="Times New Roman" w:hAnsi="Times New Roman"/>
          <w:color w:val="auto"/>
          <w:sz w:val="24"/>
          <w:szCs w:val="24"/>
          <w:lang w:eastAsia="en-US"/>
        </w:rPr>
        <w:t>Получение результата оказания услуги от ОКСа и выдача результата предоставления муниципальной услуги МФЦ заявителю.</w:t>
      </w:r>
      <w:r>
        <w:rPr>
          <w:rFonts w:ascii="Times New Roman" w:hAnsi="Times New Roman"/>
          <w:color w:val="auto"/>
          <w:sz w:val="24"/>
          <w:szCs w:val="24"/>
        </w:rPr>
        <w:t xml:space="preserve"> </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Основанием для начала процедуры является получение в установленные сроки от ОКСа разрешения на строительство или письменного отказа в предоставлении муниципальной услуги, для последующей выдачи (направления) заявителю. Должностное лицо МФЦ в соответствии с регламентом деятельности МФЦ регистрирует полученные документы.</w:t>
      </w:r>
    </w:p>
    <w:p>
      <w:pPr>
        <w:pStyle w:val="Normal"/>
        <w:numPr>
          <w:ilvl w:val="0"/>
          <w:numId w:val="0"/>
        </w:numPr>
        <w:spacing w:lineRule="auto" w:line="240" w:before="0" w:after="0"/>
        <w:ind w:left="0" w:right="0" w:firstLine="567"/>
        <w:jc w:val="both"/>
        <w:outlineLvl w:val="1"/>
        <w:rPr>
          <w:rFonts w:ascii="Times New Roman" w:hAnsi="Times New Roman"/>
          <w:color w:val="auto"/>
          <w:sz w:val="24"/>
          <w:szCs w:val="24"/>
        </w:rPr>
      </w:pPr>
      <w:r>
        <w:rPr>
          <w:rFonts w:ascii="Times New Roman" w:hAnsi="Times New Roman"/>
          <w:color w:val="auto"/>
          <w:sz w:val="24"/>
          <w:szCs w:val="24"/>
        </w:rPr>
        <w:t>Специалист МФЦ осуществляет выдачу заявителю результата услуги в порядке и сроки, предусмотренные Регламентом деятельности МФЦ.</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t>IV. ФОРМЫ КОНТРОЛЯ ЗА ПРЕДОСТАВЛЕНИЕМ МУНИЦИПАЛЬНОЙ УСЛУГИ</w:t>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lang w:eastAsia="en-US"/>
        </w:rPr>
        <w:t>4.1. Должностные лица Отдела несут персональную ответственность за несоблюдение требований регламента при исполнении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center"/>
        <w:rPr>
          <w:rFonts w:ascii="Times New Roman" w:hAnsi="Times New Roman"/>
          <w:color w:val="auto"/>
          <w:sz w:val="24"/>
          <w:szCs w:val="24"/>
        </w:rPr>
      </w:pPr>
      <w:r>
        <w:rPr>
          <w:rFonts w:ascii="Times New Roman" w:hAnsi="Times New Roman"/>
          <w:color w:val="auto"/>
          <w:sz w:val="24"/>
          <w:szCs w:val="24"/>
        </w:rPr>
        <w:t>V. ДОСУДЕБНЫЙ (ВНЕСУДЕБНЫЙ) ПОРЯДОК ОБЖАЛОВАНИЯ РЕШЕНИЙ И ДЕЙСТВИЙ (БЕЗДЕЙСТВИЯ) ОРГАНА И ДОЛЖНОСТНЫХ ЛИЦ, ПРЕДОСТАВЛЯЮЩИХ МУНИЦИПАЛЬНУЮ УСЛУГУ</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Заявитель может обратиться с жалобой, в том числе в следующих случаях:</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 нарушение срока регистрации заявления заявителя о предоставлении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 нарушение срока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7) отказа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5.2. Общие требования к порядку подачи и рассмотрения жалобы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5.2.1. Жалоба подается в письменной форме, в том числе при личном приеме заявителя, или в электронной форме в ОКС или администрацию Шарангского муниципального района, а также МФЦ.</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5.2.2. Жалоба может быть направлена:</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xml:space="preserve">- по почте по адресу: 606840, Нижегородская область, р.п. Шаранга, ул. Свободы, д. 2 </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принята при личном приеме заявителя в администрации Шарангского муниципального района по адресу: р.п. Шаранга, ул. Свободы, д. 2</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в МФЦ по адресу: р.п. Шаранга, ул. Ленина, д. 19. В данном случае срок рассмотрения жалобы исчисляется со дня регистрации жалобы в администрации Шарангского муниципального района;</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 в электронном виде посредством:</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а) официального сайта администрации Шарангского муниципального района в информационно-телекоммуникационной сети "Интернет" (http://www.sharanga.nnov.ru.);</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5.2.3. Жалоба должна содержать:</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 наименование органа, предоставляющего муниципальную услугу, должностного лица администрации Шарангского муниципального района, предоставляющего муниципальную услугу, решения и действия (бездействие) которых обжалуются;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3) сведения об обжалуемых решениях и действиях (бездействии) администрации Шарангского муниципального района, ОКС, должностного лица либо муниципального служащего;</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4) доводы, на основании которых заявитель не согласен с решением и действием (бездействием) администрации Шарангского муниципального района, ОКС,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5.3. Сроки рассмотрения жалобы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Жалоба, поступившая в администрацию Шарангского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Шарангского муниципального района,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5.4. Результат досудебного (внесудебного) обжалования применительно к каждой процедуре обжалования.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5.4.1. По результатам рассмотрения жалобы уполномоченный орган (должностное лицо) принимает одно из следующих решений:</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2) отказывает в удовлетворении жалобы.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5.4.2. В случае если в жалобе не указаны фамилия гражданина, направившего жалобу, и (или) почтовый адрес, по которому должен быть направлен ответ, ответ на жалобу не дается.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когда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когда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уполномоченный орган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Шарангского муниципального района или одному и тому же должностному лицу. О данном решении уведомляется гражданин, направивший жалобы.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5.5. Порядок направления ответа о результатах рассмотрения жалобы</w:t>
      </w:r>
    </w:p>
    <w:p>
      <w:pPr>
        <w:pStyle w:val="ConsPlusNormal"/>
        <w:spacing w:lineRule="auto" w:line="240" w:before="0" w:after="0"/>
        <w:ind w:left="0" w:right="0" w:firstLine="567"/>
        <w:jc w:val="both"/>
        <w:rPr>
          <w:rFonts w:ascii="Times New Roman" w:hAnsi="Times New Roman"/>
          <w:color w:val="auto"/>
          <w:sz w:val="24"/>
          <w:szCs w:val="24"/>
        </w:rPr>
      </w:pPr>
      <w:r>
        <w:rPr>
          <w:rFonts w:ascii="Times New Roman" w:hAnsi="Times New Roman"/>
          <w:color w:val="auto"/>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br w:type="page"/>
      </w:r>
    </w:p>
    <w:p>
      <w:pPr>
        <w:pStyle w:val="Normal"/>
        <w:widowControl/>
        <w:numPr>
          <w:ilvl w:val="0"/>
          <w:numId w:val="0"/>
        </w:numPr>
        <w:suppressAutoHyphens w:val="true"/>
        <w:overflowPunct w:val="true"/>
        <w:bidi w:val="0"/>
        <w:spacing w:lineRule="auto" w:line="240" w:before="0" w:after="0"/>
        <w:ind w:left="4535" w:right="0" w:hanging="0"/>
        <w:jc w:val="center"/>
        <w:outlineLvl w:val="0"/>
        <w:rPr>
          <w:rFonts w:ascii="Times New Roman" w:hAnsi="Times New Roman"/>
          <w:color w:val="auto"/>
          <w:sz w:val="24"/>
          <w:szCs w:val="24"/>
        </w:rPr>
      </w:pPr>
      <w:r>
        <w:rPr>
          <w:rFonts w:eastAsia="Calibri" w:ascii="Times New Roman" w:hAnsi="Times New Roman" w:eastAsiaTheme="minorHAnsi"/>
          <w:color w:val="auto"/>
          <w:sz w:val="24"/>
          <w:szCs w:val="24"/>
          <w:lang w:eastAsia="en-US"/>
        </w:rPr>
        <w:t>Приложение N 1</w:t>
      </w:r>
    </w:p>
    <w:p>
      <w:pPr>
        <w:pStyle w:val="Normal"/>
        <w:widowControl/>
        <w:numPr>
          <w:ilvl w:val="0"/>
          <w:numId w:val="0"/>
        </w:numPr>
        <w:suppressAutoHyphens w:val="true"/>
        <w:overflowPunct w:val="true"/>
        <w:bidi w:val="0"/>
        <w:spacing w:lineRule="auto" w:line="240" w:before="0" w:after="0"/>
        <w:ind w:left="4535" w:right="0" w:hanging="0"/>
        <w:jc w:val="center"/>
        <w:rPr>
          <w:rFonts w:ascii="Times New Roman" w:hAnsi="Times New Roman"/>
          <w:color w:val="auto"/>
          <w:sz w:val="24"/>
          <w:szCs w:val="24"/>
        </w:rPr>
      </w:pPr>
      <w:r>
        <w:rPr>
          <w:rFonts w:eastAsia="Calibri" w:ascii="Times New Roman" w:hAnsi="Times New Roman" w:eastAsiaTheme="minorHAnsi"/>
          <w:color w:val="auto"/>
          <w:sz w:val="24"/>
          <w:szCs w:val="24"/>
          <w:lang w:eastAsia="en-US"/>
        </w:rPr>
        <w:t>к административному регламенту администрации Шарангского муниципального района по предоставлению муниципальной услуги «</w:t>
      </w:r>
      <w:r>
        <w:rPr>
          <w:rFonts w:ascii="Times New Roman" w:hAnsi="Times New Roman"/>
          <w:color w:val="auto"/>
          <w:sz w:val="24"/>
          <w:szCs w:val="24"/>
        </w:rPr>
        <w:t>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r>
        <w:rPr>
          <w:rFonts w:eastAsia="Calibri" w:ascii="Times New Roman" w:hAnsi="Times New Roman" w:eastAsiaTheme="minorHAnsi"/>
          <w:color w:val="auto"/>
          <w:sz w:val="24"/>
          <w:szCs w:val="24"/>
          <w:lang w:eastAsia="en-US"/>
        </w:rPr>
        <w:t>»</w:t>
      </w:r>
    </w:p>
    <w:p>
      <w:pPr>
        <w:pStyle w:val="Normal"/>
        <w:spacing w:lineRule="auto" w:line="240" w:before="0" w:after="0"/>
        <w:ind w:left="0" w:right="0" w:firstLine="567"/>
        <w:jc w:val="both"/>
        <w:rPr>
          <w:rFonts w:ascii="Times New Roman" w:hAnsi="Times New Roman" w:eastAsia="Calibri" w:eastAsiaTheme="minorHAnsi"/>
          <w:color w:val="auto"/>
          <w:sz w:val="24"/>
          <w:szCs w:val="24"/>
          <w:lang w:eastAsia="en-US"/>
        </w:rPr>
      </w:pPr>
      <w:r>
        <w:rPr>
          <w:rFonts w:eastAsia="Calibri" w:eastAsiaTheme="minorHAnsi" w:ascii="Times New Roman" w:hAnsi="Times New Roman"/>
          <w:color w:val="auto"/>
          <w:sz w:val="24"/>
          <w:szCs w:val="24"/>
          <w:lang w:eastAsia="en-US"/>
        </w:rPr>
      </w:r>
    </w:p>
    <w:p>
      <w:pPr>
        <w:pStyle w:val="Normal"/>
        <w:spacing w:lineRule="auto" w:line="240" w:before="0" w:after="0"/>
        <w:ind w:left="0" w:right="0" w:firstLine="567"/>
        <w:jc w:val="center"/>
        <w:rPr>
          <w:rFonts w:ascii="Times New Roman" w:hAnsi="Times New Roman"/>
          <w:color w:val="auto"/>
          <w:sz w:val="24"/>
          <w:szCs w:val="24"/>
        </w:rPr>
      </w:pPr>
      <w:r>
        <w:rPr>
          <w:rFonts w:eastAsia="Calibri" w:ascii="Times New Roman" w:hAnsi="Times New Roman" w:eastAsiaTheme="minorHAnsi"/>
          <w:color w:val="auto"/>
          <w:sz w:val="24"/>
          <w:szCs w:val="24"/>
          <w:lang w:eastAsia="en-US"/>
        </w:rPr>
        <w:t>БЛОК-СХЕМА</w:t>
      </w:r>
    </w:p>
    <w:p>
      <w:pPr>
        <w:pStyle w:val="Normal"/>
        <w:spacing w:lineRule="auto" w:line="240" w:before="0" w:after="0"/>
        <w:ind w:left="0" w:right="0" w:firstLine="567"/>
        <w:jc w:val="center"/>
        <w:rPr>
          <w:rFonts w:ascii="Times New Roman" w:hAnsi="Times New Roman"/>
          <w:color w:val="auto"/>
          <w:sz w:val="24"/>
          <w:szCs w:val="24"/>
        </w:rPr>
      </w:pPr>
      <w:r>
        <w:rPr>
          <w:rFonts w:eastAsia="Calibri" w:ascii="Times New Roman" w:hAnsi="Times New Roman" w:eastAsiaTheme="minorHAnsi"/>
          <w:color w:val="auto"/>
          <w:sz w:val="24"/>
          <w:szCs w:val="24"/>
          <w:lang w:eastAsia="en-US"/>
        </w:rPr>
        <w:t>по предоставлению муниципальной услуги «</w:t>
      </w:r>
      <w:r>
        <w:rPr>
          <w:rFonts w:ascii="Times New Roman" w:hAnsi="Times New Roman"/>
          <w:color w:val="auto"/>
          <w:sz w:val="24"/>
          <w:szCs w:val="24"/>
        </w:rPr>
        <w:t>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r>
        <w:rPr>
          <w:rFonts w:eastAsia="Calibri" w:ascii="Times New Roman" w:hAnsi="Times New Roman" w:eastAsiaTheme="minorHAnsi"/>
          <w:color w:val="auto"/>
          <w:sz w:val="24"/>
          <w:szCs w:val="24"/>
          <w:lang w:eastAsia="en-US"/>
        </w:rPr>
        <w:t>»</w:t>
      </w:r>
    </w:p>
    <w:p>
      <w:pPr>
        <w:pStyle w:val="Normal"/>
        <w:jc w:val="both"/>
        <w:rPr>
          <w:rFonts w:ascii="Times New Roman" w:hAnsi="Times New Roman"/>
          <w:color w:val="auto"/>
        </w:rPr>
      </w:pPr>
      <w:r>
        <w:rPr>
          <w:rFonts w:eastAsia="Calibri" w:cs="Courier New" w:ascii="Times New Roman" w:hAnsi="Times New Roman" w:eastAsiaTheme="minorHAnsi"/>
          <w:color w:val="auto"/>
          <w:sz w:val="18"/>
          <w:szCs w:val="18"/>
          <w:lang w:eastAsia="en-US"/>
        </w:rPr>
        <w:t xml:space="preserve"> </w:t>
        <mc:AlternateContent>
          <mc:Choice Requires="wps">
            <w:drawing>
              <wp:anchor behindDoc="0" distT="0" distB="0" distL="0" distR="0" simplePos="0" locked="0" layoutInCell="1" allowOverlap="1" relativeHeight="3">
                <wp:simplePos x="0" y="0"/>
                <wp:positionH relativeFrom="column">
                  <wp:posOffset>986790</wp:posOffset>
                </wp:positionH>
                <wp:positionV relativeFrom="paragraph">
                  <wp:posOffset>112395</wp:posOffset>
                </wp:positionV>
                <wp:extent cx="3210560" cy="638810"/>
                <wp:effectExtent l="7620" t="10160" r="11430" b="8890"/>
                <wp:wrapNone/>
                <wp:docPr id="2" name="Text Box 26"/>
                <a:graphic xmlns:a="http://schemas.openxmlformats.org/drawingml/2006/main">
                  <a:graphicData uri="http://schemas.microsoft.com/office/word/2010/wordprocessingShape">
                    <wps:wsp>
                      <wps:cNvSpPr/>
                      <wps:spPr>
                        <a:xfrm>
                          <a:off x="0" y="0"/>
                          <a:ext cx="3209760" cy="63828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26" fillcolor="white" stroked="t" style="position:absolute;margin-left:77.7pt;margin-top:8.85pt;width:252.7pt;height:50.2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26">
                <wp:simplePos x="0" y="0"/>
                <wp:positionH relativeFrom="column">
                  <wp:posOffset>986790</wp:posOffset>
                </wp:positionH>
                <wp:positionV relativeFrom="paragraph">
                  <wp:posOffset>112395</wp:posOffset>
                </wp:positionV>
                <wp:extent cx="3210560" cy="638810"/>
                <wp:effectExtent l="0" t="0" r="0" b="0"/>
                <wp:wrapNone/>
                <wp:docPr id="3" name="Врезка3"/>
                <a:graphic xmlns:a="http://schemas.openxmlformats.org/drawingml/2006/main">
                  <a:graphicData uri="http://schemas.microsoft.com/office/word/2010/wordprocessingShape">
                    <wps:wsp>
                      <wps:cNvSpPr txBox="1"/>
                      <wps:spPr>
                        <a:xfrm>
                          <a:off x="0" y="0"/>
                          <a:ext cx="3210560" cy="638810"/>
                        </a:xfrm>
                        <a:prstGeom prst="rect"/>
                      </wps:spPr>
                      <wps:txbx>
                        <w:txbxContent>
                          <w:p>
                            <w:pPr>
                              <w:pStyle w:val="Style23"/>
                              <w:jc w:val="center"/>
                              <w:rPr>
                                <w:sz w:val="22"/>
                                <w:szCs w:val="22"/>
                              </w:rPr>
                            </w:pPr>
                            <w:r>
                              <w:rPr>
                                <w:sz w:val="22"/>
                                <w:szCs w:val="22"/>
                              </w:rPr>
                              <w:t>Прием и регистрация заявления о предоставлении муниципальной услуги в ОКС, в МБУ МФЦ</w:t>
                            </w:r>
                          </w:p>
                        </w:txbxContent>
                      </wps:txbx>
                      <wps:bodyPr anchor="t" lIns="91440" tIns="45720" rIns="91440" bIns="45720">
                        <a:noAutofit/>
                      </wps:bodyPr>
                    </wps:wsp>
                  </a:graphicData>
                </a:graphic>
              </wp:anchor>
            </w:drawing>
          </mc:Choice>
          <mc:Fallback>
            <w:pict>
              <v:rect style="position:absolute;rotation:0;width:252.8pt;height:50.3pt;mso-wrap-distance-left:0.6pt;mso-wrap-distance-right:0.9pt;mso-wrap-distance-top:5.7pt;mso-wrap-distance-bottom:5.7pt;margin-top:8.85pt;mso-position-vertical-relative:text;margin-left:77.7pt;mso-position-horizontal-relative:text">
                <v:textbox>
                  <w:txbxContent>
                    <w:p>
                      <w:pPr>
                        <w:pStyle w:val="Style23"/>
                        <w:jc w:val="center"/>
                        <w:rPr>
                          <w:sz w:val="22"/>
                          <w:szCs w:val="22"/>
                        </w:rPr>
                      </w:pPr>
                      <w:r>
                        <w:rPr>
                          <w:sz w:val="22"/>
                          <w:szCs w:val="22"/>
                        </w:rPr>
                        <w:t>Прием и регистрация заявления о предоставлении муниципальной услуги в ОКС, в МБУ МФЦ</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tabs>
          <w:tab w:val="clear" w:pos="709"/>
          <w:tab w:val="left" w:pos="5730" w:leader="none"/>
        </w:tabs>
        <w:jc w:val="both"/>
        <w:rPr>
          <w:rFonts w:ascii="Times New Roman" w:hAnsi="Times New Roman"/>
          <w:color w:val="auto"/>
        </w:rPr>
      </w:pPr>
      <w:r>
        <w:rPr>
          <w:rFonts w:eastAsia="Calibri" w:cs="Courier New" w:ascii="Times New Roman" w:hAnsi="Times New Roman" w:eastAsiaTheme="minorHAnsi"/>
          <w:color w:val="auto"/>
          <w:sz w:val="18"/>
          <w:szCs w:val="18"/>
          <w:lang w:eastAsia="en-US"/>
        </w:rPr>
        <w:tab/>
      </w:r>
    </w:p>
    <w:p>
      <w:pPr>
        <w:pStyle w:val="Normal"/>
        <w:tabs>
          <w:tab w:val="clear" w:pos="709"/>
          <w:tab w:val="left" w:pos="5730" w:leader="none"/>
        </w:tabs>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7">
                <wp:simplePos x="0" y="0"/>
                <wp:positionH relativeFrom="column">
                  <wp:posOffset>2596515</wp:posOffset>
                </wp:positionH>
                <wp:positionV relativeFrom="paragraph">
                  <wp:posOffset>103505</wp:posOffset>
                </wp:positionV>
                <wp:extent cx="1270" cy="213995"/>
                <wp:effectExtent l="55245" t="10160" r="58420" b="14605"/>
                <wp:wrapNone/>
                <wp:docPr id="4" name="AutoShape 33"/>
                <a:graphic xmlns:a="http://schemas.openxmlformats.org/drawingml/2006/main">
                  <a:graphicData uri="http://schemas.microsoft.com/office/word/2010/wordprocessingShape">
                    <wps:wsp>
                      <wps:cNvSpPr/>
                      <wps:spPr>
                        <a:xfrm>
                          <a:off x="0" y="0"/>
                          <a:ext cx="720" cy="21348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33" stroked="t" style="position:absolute;margin-left:204.45pt;margin-top:8.15pt;width:0pt;height:16.75pt" type="shapetype_32">
                <w10:wrap type="none"/>
                <v:fill o:detectmouseclick="t" on="false"/>
                <v:stroke color="black" weight="9360" endarrow="block" endarrowwidth="medium" endarrowlength="medium" joinstyle="round" endcap="flat"/>
              </v:shape>
            </w:pict>
          </mc:Fallback>
        </mc:AlternateContent>
      </w:r>
    </w:p>
    <w:p>
      <w:pPr>
        <w:pStyle w:val="Normal"/>
        <w:tabs>
          <w:tab w:val="clear" w:pos="709"/>
          <w:tab w:val="left" w:pos="5730" w:leader="none"/>
        </w:tabs>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4">
                <wp:simplePos x="0" y="0"/>
                <wp:positionH relativeFrom="column">
                  <wp:posOffset>986790</wp:posOffset>
                </wp:positionH>
                <wp:positionV relativeFrom="paragraph">
                  <wp:posOffset>57785</wp:posOffset>
                </wp:positionV>
                <wp:extent cx="3210560" cy="486410"/>
                <wp:effectExtent l="7620" t="13970" r="11430" b="5080"/>
                <wp:wrapNone/>
                <wp:docPr id="5" name="Text Box 28"/>
                <a:graphic xmlns:a="http://schemas.openxmlformats.org/drawingml/2006/main">
                  <a:graphicData uri="http://schemas.microsoft.com/office/word/2010/wordprocessingShape">
                    <wps:wsp>
                      <wps:cNvSpPr/>
                      <wps:spPr>
                        <a:xfrm>
                          <a:off x="0" y="0"/>
                          <a:ext cx="3209760" cy="48564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28" fillcolor="white" stroked="t" style="position:absolute;margin-left:77.7pt;margin-top:4.55pt;width:252.7pt;height:38.2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27">
                <wp:simplePos x="0" y="0"/>
                <wp:positionH relativeFrom="column">
                  <wp:posOffset>986790</wp:posOffset>
                </wp:positionH>
                <wp:positionV relativeFrom="paragraph">
                  <wp:posOffset>57785</wp:posOffset>
                </wp:positionV>
                <wp:extent cx="3210560" cy="486410"/>
                <wp:effectExtent l="0" t="0" r="0" b="0"/>
                <wp:wrapNone/>
                <wp:docPr id="6" name="Врезка4"/>
                <a:graphic xmlns:a="http://schemas.openxmlformats.org/drawingml/2006/main">
                  <a:graphicData uri="http://schemas.microsoft.com/office/word/2010/wordprocessingShape">
                    <wps:wsp>
                      <wps:cNvSpPr txBox="1"/>
                      <wps:spPr>
                        <a:xfrm>
                          <a:off x="0" y="0"/>
                          <a:ext cx="3210560" cy="486410"/>
                        </a:xfrm>
                        <a:prstGeom prst="rect"/>
                      </wps:spPr>
                      <wps:txbx>
                        <w:txbxContent>
                          <w:p>
                            <w:pPr>
                              <w:pStyle w:val="Style23"/>
                              <w:jc w:val="center"/>
                              <w:rPr>
                                <w:sz w:val="22"/>
                                <w:szCs w:val="22"/>
                              </w:rPr>
                            </w:pPr>
                            <w:r>
                              <w:rPr>
                                <w:sz w:val="22"/>
                                <w:szCs w:val="22"/>
                              </w:rPr>
                              <w:t>Проверка комплектности представленных заявителем документов</w:t>
                            </w:r>
                          </w:p>
                        </w:txbxContent>
                      </wps:txbx>
                      <wps:bodyPr anchor="t" lIns="91440" tIns="45720" rIns="91440" bIns="45720">
                        <a:noAutofit/>
                      </wps:bodyPr>
                    </wps:wsp>
                  </a:graphicData>
                </a:graphic>
              </wp:anchor>
            </w:drawing>
          </mc:Choice>
          <mc:Fallback>
            <w:pict>
              <v:rect style="position:absolute;rotation:0;width:252.8pt;height:38.3pt;mso-wrap-distance-left:0.6pt;mso-wrap-distance-right:0.9pt;mso-wrap-distance-top:5.7pt;mso-wrap-distance-bottom:5.7pt;margin-top:4.55pt;mso-position-vertical-relative:text;margin-left:77.7pt;mso-position-horizontal-relative:text">
                <v:textbox>
                  <w:txbxContent>
                    <w:p>
                      <w:pPr>
                        <w:pStyle w:val="Style23"/>
                        <w:jc w:val="center"/>
                        <w:rPr>
                          <w:sz w:val="22"/>
                          <w:szCs w:val="22"/>
                        </w:rPr>
                      </w:pPr>
                      <w:r>
                        <w:rPr>
                          <w:sz w:val="22"/>
                          <w:szCs w:val="22"/>
                        </w:rPr>
                        <w:t>Проверка комплектности представленных заявителем документов</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8">
                <wp:simplePos x="0" y="0"/>
                <wp:positionH relativeFrom="column">
                  <wp:posOffset>1510665</wp:posOffset>
                </wp:positionH>
                <wp:positionV relativeFrom="paragraph">
                  <wp:posOffset>26035</wp:posOffset>
                </wp:positionV>
                <wp:extent cx="1270" cy="215265"/>
                <wp:effectExtent l="55245" t="5080" r="58420" b="23495"/>
                <wp:wrapNone/>
                <wp:docPr id="7" name="AutoShape 34"/>
                <a:graphic xmlns:a="http://schemas.openxmlformats.org/drawingml/2006/main">
                  <a:graphicData uri="http://schemas.microsoft.com/office/word/2010/wordprocessingShape">
                    <wps:wsp>
                      <wps:cNvSpPr/>
                      <wps:spPr>
                        <a:xfrm>
                          <a:off x="0" y="0"/>
                          <a:ext cx="720" cy="21456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34" stroked="t" style="position:absolute;margin-left:118.95pt;margin-top:2.05pt;width:0pt;height:16.85pt" type="shapetype_32">
                <w10:wrap type="none"/>
                <v:fill o:detectmouseclick="t" on="false"/>
                <v:stroke color="black" weight="9360" endarrow="block" endarrowwidth="medium" endarrowlength="medium" joinstyle="round" endcap="flat"/>
              </v:shape>
            </w:pict>
          </mc:Fallback>
        </mc:AlternateContent>
        <mc:AlternateContent>
          <mc:Choice Requires="wps">
            <w:drawing>
              <wp:anchor behindDoc="0" distT="0" distB="0" distL="0" distR="0" simplePos="0" locked="0" layoutInCell="1" allowOverlap="1" relativeHeight="9">
                <wp:simplePos x="0" y="0"/>
                <wp:positionH relativeFrom="column">
                  <wp:posOffset>3578225</wp:posOffset>
                </wp:positionH>
                <wp:positionV relativeFrom="paragraph">
                  <wp:posOffset>26035</wp:posOffset>
                </wp:positionV>
                <wp:extent cx="1270" cy="234315"/>
                <wp:effectExtent l="55880" t="5080" r="58420" b="14605"/>
                <wp:wrapNone/>
                <wp:docPr id="8" name="AutoShape 35"/>
                <a:graphic xmlns:a="http://schemas.openxmlformats.org/drawingml/2006/main">
                  <a:graphicData uri="http://schemas.microsoft.com/office/word/2010/wordprocessingShape">
                    <wps:wsp>
                      <wps:cNvSpPr/>
                      <wps:spPr>
                        <a:xfrm>
                          <a:off x="0" y="0"/>
                          <a:ext cx="720" cy="23364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35" stroked="t" style="position:absolute;margin-left:281.75pt;margin-top:2.05pt;width:0pt;height:18.35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5">
                <wp:simplePos x="0" y="0"/>
                <wp:positionH relativeFrom="column">
                  <wp:posOffset>34290</wp:posOffset>
                </wp:positionH>
                <wp:positionV relativeFrom="paragraph">
                  <wp:posOffset>26035</wp:posOffset>
                </wp:positionV>
                <wp:extent cx="2391410" cy="705485"/>
                <wp:effectExtent l="7620" t="13970" r="11430" b="5080"/>
                <wp:wrapNone/>
                <wp:docPr id="9" name="Text Box 29"/>
                <a:graphic xmlns:a="http://schemas.openxmlformats.org/drawingml/2006/main">
                  <a:graphicData uri="http://schemas.microsoft.com/office/word/2010/wordprocessingShape">
                    <wps:wsp>
                      <wps:cNvSpPr/>
                      <wps:spPr>
                        <a:xfrm>
                          <a:off x="0" y="0"/>
                          <a:ext cx="2390760" cy="70488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29" fillcolor="white" stroked="t" style="position:absolute;margin-left:2.7pt;margin-top:2.05pt;width:188.2pt;height:55.45pt">
                <w10:wrap type="none"/>
                <v:fill o:detectmouseclick="t" type="solid" color2="black"/>
                <v:stroke color="black" weight="9360" joinstyle="miter" endcap="flat"/>
              </v:rect>
            </w:pict>
          </mc:Fallback>
        </mc:AlternateContent>
        <mc:AlternateContent>
          <mc:Choice Requires="wps">
            <w:drawing>
              <wp:anchor behindDoc="0" distT="0" distB="0" distL="0" distR="0" simplePos="0" locked="0" layoutInCell="1" allowOverlap="1" relativeHeight="6">
                <wp:simplePos x="0" y="0"/>
                <wp:positionH relativeFrom="column">
                  <wp:posOffset>2577465</wp:posOffset>
                </wp:positionH>
                <wp:positionV relativeFrom="paragraph">
                  <wp:posOffset>35560</wp:posOffset>
                </wp:positionV>
                <wp:extent cx="2372360" cy="676910"/>
                <wp:effectExtent l="7620" t="13970" r="11430" b="5080"/>
                <wp:wrapNone/>
                <wp:docPr id="10" name="Text Box 30"/>
                <a:graphic xmlns:a="http://schemas.openxmlformats.org/drawingml/2006/main">
                  <a:graphicData uri="http://schemas.microsoft.com/office/word/2010/wordprocessingShape">
                    <wps:wsp>
                      <wps:cNvSpPr/>
                      <wps:spPr>
                        <a:xfrm>
                          <a:off x="0" y="0"/>
                          <a:ext cx="2371680" cy="67644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30" fillcolor="white" stroked="t" style="position:absolute;margin-left:202.95pt;margin-top:2.8pt;width:186.7pt;height:53.2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28">
                <wp:simplePos x="0" y="0"/>
                <wp:positionH relativeFrom="column">
                  <wp:posOffset>2577465</wp:posOffset>
                </wp:positionH>
                <wp:positionV relativeFrom="paragraph">
                  <wp:posOffset>35560</wp:posOffset>
                </wp:positionV>
                <wp:extent cx="2372360" cy="676910"/>
                <wp:effectExtent l="0" t="0" r="0" b="0"/>
                <wp:wrapNone/>
                <wp:docPr id="11" name="Врезка5"/>
                <a:graphic xmlns:a="http://schemas.openxmlformats.org/drawingml/2006/main">
                  <a:graphicData uri="http://schemas.microsoft.com/office/word/2010/wordprocessingShape">
                    <wps:wsp>
                      <wps:cNvSpPr txBox="1"/>
                      <wps:spPr>
                        <a:xfrm>
                          <a:off x="0" y="0"/>
                          <a:ext cx="2372360" cy="676910"/>
                        </a:xfrm>
                        <a:prstGeom prst="rect"/>
                      </wps:spPr>
                      <wps:txbx>
                        <w:txbxContent>
                          <w:p>
                            <w:pPr>
                              <w:pStyle w:val="Style23"/>
                              <w:jc w:val="center"/>
                              <w:rPr>
                                <w:sz w:val="22"/>
                                <w:szCs w:val="22"/>
                              </w:rPr>
                            </w:pPr>
                            <w:r>
                              <w:rPr>
                                <w:sz w:val="22"/>
                                <w:szCs w:val="22"/>
                              </w:rPr>
                              <w:t>Требуется направление запроса в порядке межведомственного взаимодействия</w:t>
                            </w:r>
                          </w:p>
                        </w:txbxContent>
                      </wps:txbx>
                      <wps:bodyPr anchor="t" lIns="91440" tIns="45720" rIns="91440" bIns="45720">
                        <a:noAutofit/>
                      </wps:bodyPr>
                    </wps:wsp>
                  </a:graphicData>
                </a:graphic>
              </wp:anchor>
            </w:drawing>
          </mc:Choice>
          <mc:Fallback>
            <w:pict>
              <v:rect style="position:absolute;rotation:0;width:186.8pt;height:53.3pt;mso-wrap-distance-left:0.6pt;mso-wrap-distance-right:0.9pt;mso-wrap-distance-top:5.7pt;mso-wrap-distance-bottom:5.7pt;margin-top:2.8pt;mso-position-vertical-relative:text;margin-left:202.95pt;mso-position-horizontal-relative:text">
                <v:textbox>
                  <w:txbxContent>
                    <w:p>
                      <w:pPr>
                        <w:pStyle w:val="Style23"/>
                        <w:jc w:val="center"/>
                        <w:rPr>
                          <w:sz w:val="22"/>
                          <w:szCs w:val="22"/>
                        </w:rPr>
                      </w:pPr>
                      <w:r>
                        <w:rPr>
                          <w:sz w:val="22"/>
                          <w:szCs w:val="22"/>
                        </w:rPr>
                        <w:t>Требуется направление запроса в порядке межведомственного взаимодействия</w:t>
                      </w:r>
                    </w:p>
                  </w:txbxContent>
                </v:textbox>
              </v:rect>
            </w:pict>
          </mc:Fallback>
        </mc:AlternateContent>
      </w:r>
      <w:r>
        <mc:AlternateContent>
          <mc:Choice Requires="wps">
            <w:drawing>
              <wp:anchor behindDoc="0" distT="0" distB="0" distL="7620" distR="11430" simplePos="0" locked="0" layoutInCell="1" allowOverlap="1" relativeHeight="29">
                <wp:simplePos x="0" y="0"/>
                <wp:positionH relativeFrom="column">
                  <wp:posOffset>34290</wp:posOffset>
                </wp:positionH>
                <wp:positionV relativeFrom="paragraph">
                  <wp:posOffset>26035</wp:posOffset>
                </wp:positionV>
                <wp:extent cx="2391410" cy="705485"/>
                <wp:effectExtent l="0" t="0" r="0" b="0"/>
                <wp:wrapNone/>
                <wp:docPr id="12" name="Врезка6"/>
                <a:graphic xmlns:a="http://schemas.openxmlformats.org/drawingml/2006/main">
                  <a:graphicData uri="http://schemas.microsoft.com/office/word/2010/wordprocessingShape">
                    <wps:wsp>
                      <wps:cNvSpPr txBox="1"/>
                      <wps:spPr>
                        <a:xfrm>
                          <a:off x="0" y="0"/>
                          <a:ext cx="2391410" cy="705485"/>
                        </a:xfrm>
                        <a:prstGeom prst="rect"/>
                      </wps:spPr>
                      <wps:txbx>
                        <w:txbxContent>
                          <w:p>
                            <w:pPr>
                              <w:pStyle w:val="Style23"/>
                              <w:jc w:val="center"/>
                              <w:rPr>
                                <w:sz w:val="22"/>
                                <w:szCs w:val="22"/>
                              </w:rPr>
                            </w:pPr>
                            <w:r>
                              <w:rPr>
                                <w:sz w:val="22"/>
                                <w:szCs w:val="22"/>
                              </w:rPr>
                              <w:t>Документы, предусмотренные административным регламентом, представлены заявителем самостоятельно в полном объеме</w:t>
                            </w:r>
                          </w:p>
                        </w:txbxContent>
                      </wps:txbx>
                      <wps:bodyPr anchor="t" lIns="91440" tIns="45720" rIns="91440" bIns="45720">
                        <a:noAutofit/>
                      </wps:bodyPr>
                    </wps:wsp>
                  </a:graphicData>
                </a:graphic>
              </wp:anchor>
            </w:drawing>
          </mc:Choice>
          <mc:Fallback>
            <w:pict>
              <v:rect style="position:absolute;rotation:0;width:188.3pt;height:55.55pt;mso-wrap-distance-left:0.6pt;mso-wrap-distance-right:0.9pt;mso-wrap-distance-top:5.7pt;mso-wrap-distance-bottom:5.7pt;margin-top:2.05pt;mso-position-vertical-relative:text;margin-left:2.7pt;mso-position-horizontal-relative:text">
                <v:textbox>
                  <w:txbxContent>
                    <w:p>
                      <w:pPr>
                        <w:pStyle w:val="Style23"/>
                        <w:jc w:val="center"/>
                        <w:rPr>
                          <w:sz w:val="22"/>
                          <w:szCs w:val="22"/>
                        </w:rPr>
                      </w:pPr>
                      <w:r>
                        <w:rPr>
                          <w:sz w:val="22"/>
                          <w:szCs w:val="22"/>
                        </w:rPr>
                        <w:t>Документы, предусмотренные административным регламентом, представлены заявителем самостоятельно в полном объеме</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0">
                <wp:simplePos x="0" y="0"/>
                <wp:positionH relativeFrom="column">
                  <wp:posOffset>1824990</wp:posOffset>
                </wp:positionH>
                <wp:positionV relativeFrom="paragraph">
                  <wp:posOffset>73660</wp:posOffset>
                </wp:positionV>
                <wp:extent cx="2540" cy="1331595"/>
                <wp:effectExtent l="55245" t="13970" r="59055" b="14605"/>
                <wp:wrapNone/>
                <wp:docPr id="13" name="AutoShape 36"/>
                <a:graphic xmlns:a="http://schemas.openxmlformats.org/drawingml/2006/main">
                  <a:graphicData uri="http://schemas.microsoft.com/office/word/2010/wordprocessingShape">
                    <wps:wsp>
                      <wps:cNvSpPr/>
                      <wps:spPr>
                        <a:xfrm>
                          <a:off x="0" y="0"/>
                          <a:ext cx="1800" cy="133092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36" stroked="t" style="position:absolute;margin-left:143.7pt;margin-top:5.8pt;width:0.1pt;height:104.75pt" type="shapetype_32">
                <w10:wrap type="none"/>
                <v:fill o:detectmouseclick="t" on="false"/>
                <v:stroke color="black" weight="9360" endarrow="block" endarrowwidth="medium" endarrowlength="medium" joinstyle="round" endcap="flat"/>
              </v:shape>
            </w:pict>
          </mc:Fallback>
        </mc:AlternateContent>
        <mc:AlternateContent>
          <mc:Choice Requires="wps">
            <w:drawing>
              <wp:anchor behindDoc="0" distT="0" distB="0" distL="0" distR="0" simplePos="0" locked="0" layoutInCell="1" allowOverlap="1" relativeHeight="11">
                <wp:simplePos x="0" y="0"/>
                <wp:positionH relativeFrom="column">
                  <wp:posOffset>3729990</wp:posOffset>
                </wp:positionH>
                <wp:positionV relativeFrom="paragraph">
                  <wp:posOffset>54610</wp:posOffset>
                </wp:positionV>
                <wp:extent cx="1270" cy="257175"/>
                <wp:effectExtent l="55245" t="13970" r="59055" b="14605"/>
                <wp:wrapNone/>
                <wp:docPr id="14" name="AutoShape 37"/>
                <a:graphic xmlns:a="http://schemas.openxmlformats.org/drawingml/2006/main">
                  <a:graphicData uri="http://schemas.microsoft.com/office/word/2010/wordprocessingShape">
                    <wps:wsp>
                      <wps:cNvSpPr/>
                      <wps:spPr>
                        <a:xfrm>
                          <a:off x="0" y="0"/>
                          <a:ext cx="720" cy="25668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37" stroked="t" style="position:absolute;margin-left:293.7pt;margin-top:4.3pt;width:0pt;height:20.15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2">
                <wp:simplePos x="0" y="0"/>
                <wp:positionH relativeFrom="column">
                  <wp:posOffset>2720340</wp:posOffset>
                </wp:positionH>
                <wp:positionV relativeFrom="paragraph">
                  <wp:posOffset>74295</wp:posOffset>
                </wp:positionV>
                <wp:extent cx="3010535" cy="800735"/>
                <wp:effectExtent l="7620" t="5080" r="11430" b="13970"/>
                <wp:wrapNone/>
                <wp:docPr id="15" name="Text Box 38"/>
                <a:graphic xmlns:a="http://schemas.openxmlformats.org/drawingml/2006/main">
                  <a:graphicData uri="http://schemas.microsoft.com/office/word/2010/wordprocessingShape">
                    <wps:wsp>
                      <wps:cNvSpPr/>
                      <wps:spPr>
                        <a:xfrm>
                          <a:off x="0" y="0"/>
                          <a:ext cx="3009960" cy="80028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38" fillcolor="white" stroked="t" style="position:absolute;margin-left:214.2pt;margin-top:5.85pt;width:236.95pt;height:62.95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30">
                <wp:simplePos x="0" y="0"/>
                <wp:positionH relativeFrom="column">
                  <wp:posOffset>2720340</wp:posOffset>
                </wp:positionH>
                <wp:positionV relativeFrom="paragraph">
                  <wp:posOffset>74295</wp:posOffset>
                </wp:positionV>
                <wp:extent cx="3010535" cy="800735"/>
                <wp:effectExtent l="0" t="0" r="0" b="0"/>
                <wp:wrapNone/>
                <wp:docPr id="16" name="Врезка7"/>
                <a:graphic xmlns:a="http://schemas.openxmlformats.org/drawingml/2006/main">
                  <a:graphicData uri="http://schemas.microsoft.com/office/word/2010/wordprocessingShape">
                    <wps:wsp>
                      <wps:cNvSpPr txBox="1"/>
                      <wps:spPr>
                        <a:xfrm>
                          <a:off x="0" y="0"/>
                          <a:ext cx="3010535" cy="800735"/>
                        </a:xfrm>
                        <a:prstGeom prst="rect"/>
                      </wps:spPr>
                      <wps:txbx>
                        <w:txbxContent>
                          <w:p>
                            <w:pPr>
                              <w:pStyle w:val="Style23"/>
                              <w:jc w:val="center"/>
                              <w:rPr>
                                <w:sz w:val="22"/>
                                <w:szCs w:val="22"/>
                              </w:rPr>
                            </w:pPr>
                            <w:r>
                              <w:rPr>
                                <w:sz w:val="22"/>
                                <w:szCs w:val="22"/>
                              </w:rPr>
                              <w:t>Направление межведомственных запросов, получение документов, необходимых для предоставления услуги по каналам межведомственного взаимодействия</w:t>
                            </w:r>
                          </w:p>
                        </w:txbxContent>
                      </wps:txbx>
                      <wps:bodyPr anchor="t" lIns="91440" tIns="45720" rIns="91440" bIns="45720">
                        <a:noAutofit/>
                      </wps:bodyPr>
                    </wps:wsp>
                  </a:graphicData>
                </a:graphic>
              </wp:anchor>
            </w:drawing>
          </mc:Choice>
          <mc:Fallback>
            <w:pict>
              <v:rect style="position:absolute;rotation:0;width:237.05pt;height:63.05pt;mso-wrap-distance-left:0.6pt;mso-wrap-distance-right:0.9pt;mso-wrap-distance-top:5.7pt;mso-wrap-distance-bottom:5.7pt;margin-top:5.85pt;mso-position-vertical-relative:text;margin-left:214.2pt;mso-position-horizontal-relative:text">
                <v:textbox>
                  <w:txbxContent>
                    <w:p>
                      <w:pPr>
                        <w:pStyle w:val="Style23"/>
                        <w:jc w:val="center"/>
                        <w:rPr>
                          <w:sz w:val="22"/>
                          <w:szCs w:val="22"/>
                        </w:rPr>
                      </w:pPr>
                      <w:r>
                        <w:rPr>
                          <w:sz w:val="22"/>
                          <w:szCs w:val="22"/>
                        </w:rPr>
                        <w:t>Направление межведомственных запросов, получение документов, необходимых для предоставления услуги по каналам межведомственного взаимодействия</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4">
                <wp:simplePos x="0" y="0"/>
                <wp:positionH relativeFrom="column">
                  <wp:posOffset>4253865</wp:posOffset>
                </wp:positionH>
                <wp:positionV relativeFrom="paragraph">
                  <wp:posOffset>85725</wp:posOffset>
                </wp:positionV>
                <wp:extent cx="1270" cy="250825"/>
                <wp:effectExtent l="55245" t="13970" r="59055" b="14605"/>
                <wp:wrapNone/>
                <wp:docPr id="17" name="AutoShape 40"/>
                <a:graphic xmlns:a="http://schemas.openxmlformats.org/drawingml/2006/main">
                  <a:graphicData uri="http://schemas.microsoft.com/office/word/2010/wordprocessingShape">
                    <wps:wsp>
                      <wps:cNvSpPr/>
                      <wps:spPr>
                        <a:xfrm>
                          <a:off x="0" y="0"/>
                          <a:ext cx="720" cy="25020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40" stroked="t" style="position:absolute;margin-left:334.95pt;margin-top:6.75pt;width:0pt;height:19.65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3">
                <wp:simplePos x="0" y="0"/>
                <wp:positionH relativeFrom="column">
                  <wp:posOffset>1634490</wp:posOffset>
                </wp:positionH>
                <wp:positionV relativeFrom="paragraph">
                  <wp:posOffset>90170</wp:posOffset>
                </wp:positionV>
                <wp:extent cx="2800985" cy="372110"/>
                <wp:effectExtent l="7620" t="5080" r="11430" b="13970"/>
                <wp:wrapNone/>
                <wp:docPr id="18" name="Text Box 39"/>
                <a:graphic xmlns:a="http://schemas.openxmlformats.org/drawingml/2006/main">
                  <a:graphicData uri="http://schemas.microsoft.com/office/word/2010/wordprocessingShape">
                    <wps:wsp>
                      <wps:cNvSpPr/>
                      <wps:spPr>
                        <a:xfrm>
                          <a:off x="0" y="0"/>
                          <a:ext cx="2800440" cy="371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39" fillcolor="white" stroked="t" style="position:absolute;margin-left:128.7pt;margin-top:7.1pt;width:220.45pt;height:29.2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31">
                <wp:simplePos x="0" y="0"/>
                <wp:positionH relativeFrom="column">
                  <wp:posOffset>1634490</wp:posOffset>
                </wp:positionH>
                <wp:positionV relativeFrom="paragraph">
                  <wp:posOffset>90170</wp:posOffset>
                </wp:positionV>
                <wp:extent cx="2800985" cy="372110"/>
                <wp:effectExtent l="0" t="0" r="0" b="0"/>
                <wp:wrapNone/>
                <wp:docPr id="19" name="Врезка8"/>
                <a:graphic xmlns:a="http://schemas.openxmlformats.org/drawingml/2006/main">
                  <a:graphicData uri="http://schemas.microsoft.com/office/word/2010/wordprocessingShape">
                    <wps:wsp>
                      <wps:cNvSpPr txBox="1"/>
                      <wps:spPr>
                        <a:xfrm>
                          <a:off x="0" y="0"/>
                          <a:ext cx="2800985" cy="372110"/>
                        </a:xfrm>
                        <a:prstGeom prst="rect"/>
                      </wps:spPr>
                      <wps:txbx>
                        <w:txbxContent>
                          <w:p>
                            <w:pPr>
                              <w:pStyle w:val="Style23"/>
                              <w:jc w:val="center"/>
                              <w:rPr>
                                <w:sz w:val="22"/>
                                <w:szCs w:val="22"/>
                              </w:rPr>
                            </w:pPr>
                            <w:r>
                              <w:rPr>
                                <w:sz w:val="22"/>
                                <w:szCs w:val="22"/>
                              </w:rPr>
                              <w:t>Обработка представленных документов</w:t>
                            </w:r>
                          </w:p>
                        </w:txbxContent>
                      </wps:txbx>
                      <wps:bodyPr anchor="t" lIns="91440" tIns="45720" rIns="91440" bIns="45720">
                        <a:noAutofit/>
                      </wps:bodyPr>
                    </wps:wsp>
                  </a:graphicData>
                </a:graphic>
              </wp:anchor>
            </w:drawing>
          </mc:Choice>
          <mc:Fallback>
            <w:pict>
              <v:rect style="position:absolute;rotation:0;width:220.55pt;height:29.3pt;mso-wrap-distance-left:0.6pt;mso-wrap-distance-right:0.9pt;mso-wrap-distance-top:5.7pt;mso-wrap-distance-bottom:5.7pt;margin-top:7.1pt;mso-position-vertical-relative:text;margin-left:128.7pt;mso-position-horizontal-relative:text">
                <v:textbox>
                  <w:txbxContent>
                    <w:p>
                      <w:pPr>
                        <w:pStyle w:val="Style23"/>
                        <w:jc w:val="center"/>
                        <w:rPr>
                          <w:sz w:val="22"/>
                          <w:szCs w:val="22"/>
                        </w:rPr>
                      </w:pPr>
                      <w:r>
                        <w:rPr>
                          <w:sz w:val="22"/>
                          <w:szCs w:val="22"/>
                        </w:rPr>
                        <w:t>Обработка представленных документов</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7">
                <wp:simplePos x="0" y="0"/>
                <wp:positionH relativeFrom="column">
                  <wp:posOffset>1815465</wp:posOffset>
                </wp:positionH>
                <wp:positionV relativeFrom="paragraph">
                  <wp:posOffset>67310</wp:posOffset>
                </wp:positionV>
                <wp:extent cx="1270" cy="212090"/>
                <wp:effectExtent l="55245" t="5080" r="58420" b="23495"/>
                <wp:wrapNone/>
                <wp:docPr id="20" name="AutoShape 43"/>
                <a:graphic xmlns:a="http://schemas.openxmlformats.org/drawingml/2006/main">
                  <a:graphicData uri="http://schemas.microsoft.com/office/word/2010/wordprocessingShape">
                    <wps:wsp>
                      <wps:cNvSpPr/>
                      <wps:spPr>
                        <a:xfrm>
                          <a:off x="0" y="0"/>
                          <a:ext cx="720" cy="21132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43" stroked="t" style="position:absolute;margin-left:142.95pt;margin-top:5.3pt;width:0pt;height:16.6pt" type="shapetype_32">
                <w10:wrap type="none"/>
                <v:fill o:detectmouseclick="t" on="false"/>
                <v:stroke color="black" weight="9360" endarrow="block" endarrowwidth="medium" endarrowlength="medium" joinstyle="round" endcap="flat"/>
              </v:shape>
            </w:pict>
          </mc:Fallback>
        </mc:AlternateContent>
        <mc:AlternateContent>
          <mc:Choice Requires="wps">
            <w:drawing>
              <wp:anchor behindDoc="0" distT="0" distB="0" distL="0" distR="0" simplePos="0" locked="0" layoutInCell="1" allowOverlap="1" relativeHeight="18">
                <wp:simplePos x="0" y="0"/>
                <wp:positionH relativeFrom="column">
                  <wp:posOffset>4272915</wp:posOffset>
                </wp:positionH>
                <wp:positionV relativeFrom="paragraph">
                  <wp:posOffset>67310</wp:posOffset>
                </wp:positionV>
                <wp:extent cx="1270" cy="231140"/>
                <wp:effectExtent l="55245" t="5080" r="58420" b="23495"/>
                <wp:wrapNone/>
                <wp:docPr id="21" name="AutoShape 44"/>
                <a:graphic xmlns:a="http://schemas.openxmlformats.org/drawingml/2006/main">
                  <a:graphicData uri="http://schemas.microsoft.com/office/word/2010/wordprocessingShape">
                    <wps:wsp>
                      <wps:cNvSpPr/>
                      <wps:spPr>
                        <a:xfrm>
                          <a:off x="0" y="0"/>
                          <a:ext cx="720" cy="23040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44" stroked="t" style="position:absolute;margin-left:336.45pt;margin-top:5.3pt;width:0pt;height:18.1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5">
                <wp:simplePos x="0" y="0"/>
                <wp:positionH relativeFrom="column">
                  <wp:posOffset>255270</wp:posOffset>
                </wp:positionH>
                <wp:positionV relativeFrom="paragraph">
                  <wp:posOffset>6350</wp:posOffset>
                </wp:positionV>
                <wp:extent cx="2713355" cy="953135"/>
                <wp:effectExtent l="7620" t="13970" r="11430" b="6350"/>
                <wp:wrapNone/>
                <wp:docPr id="22" name="Text Box 41"/>
                <a:graphic xmlns:a="http://schemas.openxmlformats.org/drawingml/2006/main">
                  <a:graphicData uri="http://schemas.microsoft.com/office/word/2010/wordprocessingShape">
                    <wps:wsp>
                      <wps:cNvSpPr/>
                      <wps:spPr>
                        <a:xfrm>
                          <a:off x="0" y="0"/>
                          <a:ext cx="2712600" cy="95256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41" fillcolor="white" stroked="t" style="position:absolute;margin-left:20.1pt;margin-top:0.5pt;width:213.55pt;height:74.95pt">
                <w10:wrap type="none"/>
                <v:fill o:detectmouseclick="t" type="solid" color2="black"/>
                <v:stroke color="black" weight="9360" joinstyle="miter" endcap="flat"/>
              </v:rect>
            </w:pict>
          </mc:Fallback>
        </mc:AlternateContent>
        <mc:AlternateContent>
          <mc:Choice Requires="wps">
            <w:drawing>
              <wp:anchor behindDoc="0" distT="0" distB="0" distL="0" distR="0" simplePos="0" locked="0" layoutInCell="1" allowOverlap="1" relativeHeight="16">
                <wp:simplePos x="0" y="0"/>
                <wp:positionH relativeFrom="column">
                  <wp:posOffset>3206115</wp:posOffset>
                </wp:positionH>
                <wp:positionV relativeFrom="paragraph">
                  <wp:posOffset>101600</wp:posOffset>
                </wp:positionV>
                <wp:extent cx="2781935" cy="924560"/>
                <wp:effectExtent l="7620" t="13970" r="11430" b="6350"/>
                <wp:wrapNone/>
                <wp:docPr id="23" name="Text Box 42"/>
                <a:graphic xmlns:a="http://schemas.openxmlformats.org/drawingml/2006/main">
                  <a:graphicData uri="http://schemas.microsoft.com/office/word/2010/wordprocessingShape">
                    <wps:wsp>
                      <wps:cNvSpPr/>
                      <wps:spPr>
                        <a:xfrm>
                          <a:off x="0" y="0"/>
                          <a:ext cx="2781360" cy="92376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42" fillcolor="white" stroked="t" style="position:absolute;margin-left:252.45pt;margin-top:8pt;width:218.95pt;height:72.7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32">
                <wp:simplePos x="0" y="0"/>
                <wp:positionH relativeFrom="column">
                  <wp:posOffset>3150870</wp:posOffset>
                </wp:positionH>
                <wp:positionV relativeFrom="paragraph">
                  <wp:posOffset>92075</wp:posOffset>
                </wp:positionV>
                <wp:extent cx="3067685" cy="876935"/>
                <wp:effectExtent l="0" t="0" r="0" b="0"/>
                <wp:wrapNone/>
                <wp:docPr id="24" name="Врезка9"/>
                <a:graphic xmlns:a="http://schemas.openxmlformats.org/drawingml/2006/main">
                  <a:graphicData uri="http://schemas.microsoft.com/office/word/2010/wordprocessingShape">
                    <wps:wsp>
                      <wps:cNvSpPr txBox="1"/>
                      <wps:spPr>
                        <a:xfrm>
                          <a:off x="0" y="0"/>
                          <a:ext cx="3067685" cy="876935"/>
                        </a:xfrm>
                        <a:prstGeom prst="rect"/>
                      </wps:spPr>
                      <wps:txbx>
                        <w:txbxContent>
                          <w:p>
                            <w:pPr>
                              <w:pStyle w:val="ListParagraph"/>
                              <w:numPr>
                                <w:ilvl w:val="0"/>
                                <w:numId w:val="8"/>
                              </w:numPr>
                              <w:ind w:left="0" w:hanging="360"/>
                              <w:jc w:val="center"/>
                              <w:rPr>
                                <w:sz w:val="22"/>
                                <w:szCs w:val="22"/>
                              </w:rPr>
                            </w:pPr>
                            <w:r>
                              <w:rPr>
                                <w:sz w:val="22"/>
                                <w:szCs w:val="22"/>
                              </w:rPr>
                              <w:t>Подготовка проекта отказа в выдаче разрешения на строительство;</w:t>
                            </w:r>
                          </w:p>
                          <w:p>
                            <w:pPr>
                              <w:pStyle w:val="ListParagraph"/>
                              <w:numPr>
                                <w:ilvl w:val="0"/>
                                <w:numId w:val="8"/>
                              </w:numPr>
                              <w:spacing w:before="0" w:after="200"/>
                              <w:ind w:left="0" w:hanging="360"/>
                              <w:contextualSpacing/>
                              <w:jc w:val="center"/>
                              <w:rPr>
                                <w:sz w:val="22"/>
                                <w:szCs w:val="22"/>
                              </w:rPr>
                            </w:pPr>
                            <w:r>
                              <w:rPr>
                                <w:sz w:val="22"/>
                                <w:szCs w:val="22"/>
                              </w:rPr>
                              <w:t xml:space="preserve">Подписание проекта отказа в выдаче разрешения на строительство </w:t>
                            </w:r>
                          </w:p>
                        </w:txbxContent>
                      </wps:txbx>
                      <wps:bodyPr anchor="t" lIns="91440" tIns="45720" rIns="91440" bIns="45720">
                        <a:noAutofit/>
                      </wps:bodyPr>
                    </wps:wsp>
                  </a:graphicData>
                </a:graphic>
              </wp:anchor>
            </w:drawing>
          </mc:Choice>
          <mc:Fallback>
            <w:pict>
              <v:rect style="position:absolute;rotation:0;width:241.55pt;height:69.05pt;mso-wrap-distance-left:0.6pt;mso-wrap-distance-right:0.9pt;mso-wrap-distance-top:5.7pt;mso-wrap-distance-bottom:5.7pt;margin-top:7.25pt;mso-position-vertical-relative:text;margin-left:248.1pt;mso-position-horizontal-relative:text">
                <v:textbox>
                  <w:txbxContent>
                    <w:p>
                      <w:pPr>
                        <w:pStyle w:val="ListParagraph"/>
                        <w:numPr>
                          <w:ilvl w:val="0"/>
                          <w:numId w:val="8"/>
                        </w:numPr>
                        <w:ind w:left="0" w:hanging="360"/>
                        <w:jc w:val="center"/>
                        <w:rPr>
                          <w:sz w:val="22"/>
                          <w:szCs w:val="22"/>
                        </w:rPr>
                      </w:pPr>
                      <w:r>
                        <w:rPr>
                          <w:sz w:val="22"/>
                          <w:szCs w:val="22"/>
                        </w:rPr>
                        <w:t>Подготовка проекта отказа в выдаче разрешения на строительство;</w:t>
                      </w:r>
                    </w:p>
                    <w:p>
                      <w:pPr>
                        <w:pStyle w:val="ListParagraph"/>
                        <w:numPr>
                          <w:ilvl w:val="0"/>
                          <w:numId w:val="8"/>
                        </w:numPr>
                        <w:spacing w:before="0" w:after="200"/>
                        <w:ind w:left="0" w:hanging="360"/>
                        <w:contextualSpacing/>
                        <w:jc w:val="center"/>
                        <w:rPr>
                          <w:sz w:val="22"/>
                          <w:szCs w:val="22"/>
                        </w:rPr>
                      </w:pPr>
                      <w:r>
                        <w:rPr>
                          <w:sz w:val="22"/>
                          <w:szCs w:val="22"/>
                        </w:rPr>
                        <w:t xml:space="preserve">Подписание проекта отказа в выдаче разрешения на строительство </w:t>
                      </w:r>
                    </w:p>
                  </w:txbxContent>
                </v:textbox>
              </v:rect>
            </w:pict>
          </mc:Fallback>
        </mc:AlternateContent>
      </w:r>
      <w:r>
        <mc:AlternateContent>
          <mc:Choice Requires="wps">
            <w:drawing>
              <wp:anchor behindDoc="0" distT="0" distB="0" distL="7620" distR="11430" simplePos="0" locked="0" layoutInCell="1" allowOverlap="1" relativeHeight="33">
                <wp:simplePos x="0" y="0"/>
                <wp:positionH relativeFrom="column">
                  <wp:posOffset>255270</wp:posOffset>
                </wp:positionH>
                <wp:positionV relativeFrom="paragraph">
                  <wp:posOffset>73025</wp:posOffset>
                </wp:positionV>
                <wp:extent cx="2713355" cy="953135"/>
                <wp:effectExtent l="0" t="0" r="0" b="0"/>
                <wp:wrapNone/>
                <wp:docPr id="25" name="Врезка10"/>
                <a:graphic xmlns:a="http://schemas.openxmlformats.org/drawingml/2006/main">
                  <a:graphicData uri="http://schemas.microsoft.com/office/word/2010/wordprocessingShape">
                    <wps:wsp>
                      <wps:cNvSpPr txBox="1"/>
                      <wps:spPr>
                        <a:xfrm>
                          <a:off x="0" y="0"/>
                          <a:ext cx="2713355" cy="953135"/>
                        </a:xfrm>
                        <a:prstGeom prst="rect"/>
                      </wps:spPr>
                      <wps:txbx>
                        <w:txbxContent>
                          <w:p>
                            <w:pPr>
                              <w:pStyle w:val="ListParagraph"/>
                              <w:numPr>
                                <w:ilvl w:val="0"/>
                                <w:numId w:val="9"/>
                              </w:numPr>
                              <w:tabs>
                                <w:tab w:val="clear" w:pos="709"/>
                                <w:tab w:val="left" w:pos="284" w:leader="none"/>
                              </w:tabs>
                              <w:ind w:left="-142" w:hanging="0"/>
                              <w:jc w:val="center"/>
                              <w:rPr>
                                <w:sz w:val="22"/>
                                <w:szCs w:val="22"/>
                              </w:rPr>
                            </w:pPr>
                            <w:r>
                              <w:rPr>
                                <w:sz w:val="22"/>
                                <w:szCs w:val="22"/>
                              </w:rPr>
                              <w:t>Подготовка проекта разрешения на строительство;</w:t>
                            </w:r>
                          </w:p>
                          <w:p>
                            <w:pPr>
                              <w:pStyle w:val="ListParagraph"/>
                              <w:numPr>
                                <w:ilvl w:val="0"/>
                                <w:numId w:val="9"/>
                              </w:numPr>
                              <w:tabs>
                                <w:tab w:val="clear" w:pos="709"/>
                                <w:tab w:val="left" w:pos="284" w:leader="none"/>
                              </w:tabs>
                              <w:spacing w:before="0" w:after="200"/>
                              <w:ind w:left="-142" w:hanging="0"/>
                              <w:contextualSpacing/>
                              <w:jc w:val="center"/>
                              <w:rPr>
                                <w:sz w:val="22"/>
                                <w:szCs w:val="22"/>
                              </w:rPr>
                            </w:pPr>
                            <w:r>
                              <w:rPr>
                                <w:sz w:val="22"/>
                                <w:szCs w:val="22"/>
                              </w:rPr>
                              <w:t xml:space="preserve">Подписание проекта разрешения на строительство </w:t>
                            </w:r>
                          </w:p>
                        </w:txbxContent>
                      </wps:txbx>
                      <wps:bodyPr anchor="t" lIns="91440" tIns="45720" rIns="91440" bIns="45720">
                        <a:noAutofit/>
                      </wps:bodyPr>
                    </wps:wsp>
                  </a:graphicData>
                </a:graphic>
              </wp:anchor>
            </w:drawing>
          </mc:Choice>
          <mc:Fallback>
            <w:pict>
              <v:rect style="position:absolute;rotation:0;width:213.65pt;height:75.05pt;mso-wrap-distance-left:0.6pt;mso-wrap-distance-right:0.9pt;mso-wrap-distance-top:5.7pt;mso-wrap-distance-bottom:5.7pt;margin-top:5.75pt;mso-position-vertical-relative:text;margin-left:20.1pt;mso-position-horizontal-relative:text">
                <v:textbox>
                  <w:txbxContent>
                    <w:p>
                      <w:pPr>
                        <w:pStyle w:val="ListParagraph"/>
                        <w:numPr>
                          <w:ilvl w:val="0"/>
                          <w:numId w:val="9"/>
                        </w:numPr>
                        <w:tabs>
                          <w:tab w:val="clear" w:pos="709"/>
                          <w:tab w:val="left" w:pos="284" w:leader="none"/>
                        </w:tabs>
                        <w:ind w:left="-142" w:hanging="0"/>
                        <w:jc w:val="center"/>
                        <w:rPr>
                          <w:sz w:val="22"/>
                          <w:szCs w:val="22"/>
                        </w:rPr>
                      </w:pPr>
                      <w:r>
                        <w:rPr>
                          <w:sz w:val="22"/>
                          <w:szCs w:val="22"/>
                        </w:rPr>
                        <w:t>Подготовка проекта разрешения на строительство;</w:t>
                      </w:r>
                    </w:p>
                    <w:p>
                      <w:pPr>
                        <w:pStyle w:val="ListParagraph"/>
                        <w:numPr>
                          <w:ilvl w:val="0"/>
                          <w:numId w:val="9"/>
                        </w:numPr>
                        <w:tabs>
                          <w:tab w:val="clear" w:pos="709"/>
                          <w:tab w:val="left" w:pos="284" w:leader="none"/>
                        </w:tabs>
                        <w:spacing w:before="0" w:after="200"/>
                        <w:ind w:left="-142" w:hanging="0"/>
                        <w:contextualSpacing/>
                        <w:jc w:val="center"/>
                        <w:rPr>
                          <w:sz w:val="22"/>
                          <w:szCs w:val="22"/>
                        </w:rPr>
                      </w:pPr>
                      <w:r>
                        <w:rPr>
                          <w:sz w:val="22"/>
                          <w:szCs w:val="22"/>
                        </w:rPr>
                        <w:t xml:space="preserve">Подписание проекта разрешения на строительство </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19">
                <wp:simplePos x="0" y="0"/>
                <wp:positionH relativeFrom="column">
                  <wp:posOffset>1644015</wp:posOffset>
                </wp:positionH>
                <wp:positionV relativeFrom="paragraph">
                  <wp:posOffset>38735</wp:posOffset>
                </wp:positionV>
                <wp:extent cx="1270" cy="286385"/>
                <wp:effectExtent l="55245" t="12700" r="58420" b="23495"/>
                <wp:wrapNone/>
                <wp:docPr id="26" name="AutoShape 45"/>
                <a:graphic xmlns:a="http://schemas.openxmlformats.org/drawingml/2006/main">
                  <a:graphicData uri="http://schemas.microsoft.com/office/word/2010/wordprocessingShape">
                    <wps:wsp>
                      <wps:cNvSpPr/>
                      <wps:spPr>
                        <a:xfrm>
                          <a:off x="0" y="0"/>
                          <a:ext cx="720" cy="28584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45" stroked="t" style="position:absolute;margin-left:129.45pt;margin-top:3.05pt;width:0pt;height:22.45pt" type="shapetype_32">
                <w10:wrap type="none"/>
                <v:fill o:detectmouseclick="t" on="false"/>
                <v:stroke color="black" weight="9360" endarrow="block" endarrowwidth="medium" endarrowlength="medium" joinstyle="round" endcap="flat"/>
              </v:shape>
            </w:pict>
          </mc:Fallback>
        </mc:AlternateContent>
        <mc:AlternateContent>
          <mc:Choice Requires="wps">
            <w:drawing>
              <wp:anchor behindDoc="0" distT="0" distB="0" distL="0" distR="0" simplePos="0" locked="0" layoutInCell="1" allowOverlap="1" relativeHeight="20">
                <wp:simplePos x="0" y="0"/>
                <wp:positionH relativeFrom="column">
                  <wp:posOffset>4377690</wp:posOffset>
                </wp:positionH>
                <wp:positionV relativeFrom="paragraph">
                  <wp:posOffset>105410</wp:posOffset>
                </wp:positionV>
                <wp:extent cx="1270" cy="257810"/>
                <wp:effectExtent l="55245" t="12700" r="58420" b="14605"/>
                <wp:wrapNone/>
                <wp:docPr id="27" name="AutoShape 46"/>
                <a:graphic xmlns:a="http://schemas.openxmlformats.org/drawingml/2006/main">
                  <a:graphicData uri="http://schemas.microsoft.com/office/word/2010/wordprocessingShape">
                    <wps:wsp>
                      <wps:cNvSpPr/>
                      <wps:spPr>
                        <a:xfrm>
                          <a:off x="0" y="0"/>
                          <a:ext cx="720" cy="25704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46" stroked="t" style="position:absolute;margin-left:344.7pt;margin-top:8.3pt;width:0pt;height:20.2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13970" distB="5080" distL="7620" distR="11430" simplePos="0" locked="0" layoutInCell="1" allowOverlap="1" relativeHeight="21">
                <wp:simplePos x="0" y="0"/>
                <wp:positionH relativeFrom="column">
                  <wp:posOffset>300990</wp:posOffset>
                </wp:positionH>
                <wp:positionV relativeFrom="paragraph">
                  <wp:posOffset>64135</wp:posOffset>
                </wp:positionV>
                <wp:extent cx="2491105" cy="309880"/>
                <wp:effectExtent l="0" t="0" r="0" b="0"/>
                <wp:wrapNone/>
                <wp:docPr id="28" name="Text Box 47"/>
                <a:graphic xmlns:a="http://schemas.openxmlformats.org/drawingml/2006/main">
                  <a:graphicData uri="http://schemas.microsoft.com/office/word/2010/wordprocessingShape">
                    <wps:wsp>
                      <wps:cNvSpPr/>
                      <wps:spPr>
                        <a:xfrm>
                          <a:off x="0" y="0"/>
                          <a:ext cx="2490480" cy="30924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47" fillcolor="white" stroked="t" style="position:absolute;margin-left:23.7pt;margin-top:5.05pt;width:196.05pt;height:24.3pt">
                <w10:wrap type="none"/>
                <v:fill o:detectmouseclick="t" type="solid" color2="black"/>
                <v:stroke color="black" weight="9360" joinstyle="miter" endcap="flat"/>
              </v:rect>
            </w:pict>
          </mc:Fallback>
        </mc:AlternateContent>
        <mc:AlternateContent>
          <mc:Choice Requires="wps">
            <w:drawing>
              <wp:anchor behindDoc="0" distT="0" distB="0" distL="0" distR="0" simplePos="0" locked="0" layoutInCell="1" allowOverlap="1" relativeHeight="22">
                <wp:simplePos x="0" y="0"/>
                <wp:positionH relativeFrom="column">
                  <wp:posOffset>3291840</wp:posOffset>
                </wp:positionH>
                <wp:positionV relativeFrom="paragraph">
                  <wp:posOffset>102235</wp:posOffset>
                </wp:positionV>
                <wp:extent cx="2286635" cy="305435"/>
                <wp:effectExtent l="7620" t="13970" r="11430" b="5080"/>
                <wp:wrapNone/>
                <wp:docPr id="29" name="Text Box 48"/>
                <a:graphic xmlns:a="http://schemas.openxmlformats.org/drawingml/2006/main">
                  <a:graphicData uri="http://schemas.microsoft.com/office/word/2010/wordprocessingShape">
                    <wps:wsp>
                      <wps:cNvSpPr/>
                      <wps:spPr>
                        <a:xfrm>
                          <a:off x="0" y="0"/>
                          <a:ext cx="2286000" cy="3049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48" fillcolor="white" stroked="t" style="position:absolute;margin-left:259.2pt;margin-top:8.05pt;width:179.95pt;height:23.95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34">
                <wp:simplePos x="0" y="0"/>
                <wp:positionH relativeFrom="column">
                  <wp:posOffset>3291840</wp:posOffset>
                </wp:positionH>
                <wp:positionV relativeFrom="paragraph">
                  <wp:posOffset>102235</wp:posOffset>
                </wp:positionV>
                <wp:extent cx="2286635" cy="305435"/>
                <wp:effectExtent l="0" t="0" r="0" b="0"/>
                <wp:wrapNone/>
                <wp:docPr id="30" name="Врезка11"/>
                <a:graphic xmlns:a="http://schemas.openxmlformats.org/drawingml/2006/main">
                  <a:graphicData uri="http://schemas.microsoft.com/office/word/2010/wordprocessingShape">
                    <wps:wsp>
                      <wps:cNvSpPr txBox="1"/>
                      <wps:spPr>
                        <a:xfrm>
                          <a:off x="0" y="0"/>
                          <a:ext cx="2286635" cy="305435"/>
                        </a:xfrm>
                        <a:prstGeom prst="rect"/>
                      </wps:spPr>
                      <wps:txbx>
                        <w:txbxContent>
                          <w:p>
                            <w:pPr>
                              <w:pStyle w:val="Style23"/>
                              <w:jc w:val="center"/>
                              <w:rPr>
                                <w:sz w:val="22"/>
                                <w:szCs w:val="22"/>
                              </w:rPr>
                            </w:pPr>
                            <w:r>
                              <w:rPr>
                                <w:sz w:val="22"/>
                                <w:szCs w:val="22"/>
                              </w:rPr>
                              <w:t xml:space="preserve">Передача отказа в МБУ МФЦ </w:t>
                            </w:r>
                          </w:p>
                        </w:txbxContent>
                      </wps:txbx>
                      <wps:bodyPr anchor="t" lIns="91440" tIns="45720" rIns="91440" bIns="45720">
                        <a:noAutofit/>
                      </wps:bodyPr>
                    </wps:wsp>
                  </a:graphicData>
                </a:graphic>
              </wp:anchor>
            </w:drawing>
          </mc:Choice>
          <mc:Fallback>
            <w:pict>
              <v:rect style="position:absolute;rotation:0;width:180.05pt;height:24.05pt;mso-wrap-distance-left:0.6pt;mso-wrap-distance-right:0.9pt;mso-wrap-distance-top:5.7pt;mso-wrap-distance-bottom:5.7pt;margin-top:8.05pt;mso-position-vertical-relative:text;margin-left:259.2pt;mso-position-horizontal-relative:text">
                <v:textbox>
                  <w:txbxContent>
                    <w:p>
                      <w:pPr>
                        <w:pStyle w:val="Style23"/>
                        <w:jc w:val="center"/>
                        <w:rPr>
                          <w:sz w:val="22"/>
                          <w:szCs w:val="22"/>
                        </w:rPr>
                      </w:pPr>
                      <w:r>
                        <w:rPr>
                          <w:sz w:val="22"/>
                          <w:szCs w:val="22"/>
                        </w:rPr>
                        <w:t xml:space="preserve">Передача отказа в МБУ МФЦ </w:t>
                      </w:r>
                    </w:p>
                  </w:txbxContent>
                </v:textbox>
              </v:rect>
            </w:pict>
          </mc:Fallback>
        </mc:AlternateContent>
      </w:r>
      <w:r>
        <mc:AlternateContent>
          <mc:Choice Requires="wps">
            <w:drawing>
              <wp:anchor behindDoc="0" distT="0" distB="0" distL="7620" distR="11430" simplePos="0" locked="0" layoutInCell="1" allowOverlap="1" relativeHeight="35">
                <wp:simplePos x="0" y="0"/>
                <wp:positionH relativeFrom="column">
                  <wp:posOffset>300990</wp:posOffset>
                </wp:positionH>
                <wp:positionV relativeFrom="paragraph">
                  <wp:posOffset>64135</wp:posOffset>
                </wp:positionV>
                <wp:extent cx="2486660" cy="305435"/>
                <wp:effectExtent l="0" t="0" r="0" b="0"/>
                <wp:wrapNone/>
                <wp:docPr id="31" name="Врезка12"/>
                <a:graphic xmlns:a="http://schemas.openxmlformats.org/drawingml/2006/main">
                  <a:graphicData uri="http://schemas.microsoft.com/office/word/2010/wordprocessingShape">
                    <wps:wsp>
                      <wps:cNvSpPr txBox="1"/>
                      <wps:spPr>
                        <a:xfrm>
                          <a:off x="0" y="0"/>
                          <a:ext cx="2486660" cy="305435"/>
                        </a:xfrm>
                        <a:prstGeom prst="rect"/>
                      </wps:spPr>
                      <wps:txbx>
                        <w:txbxContent>
                          <w:p>
                            <w:pPr>
                              <w:pStyle w:val="Style23"/>
                              <w:jc w:val="center"/>
                              <w:rPr>
                                <w:sz w:val="22"/>
                                <w:szCs w:val="22"/>
                              </w:rPr>
                            </w:pPr>
                            <w:r>
                              <w:rPr>
                                <w:sz w:val="22"/>
                                <w:szCs w:val="22"/>
                              </w:rPr>
                              <w:t>Передача разрешения в МБУ МФЦ</w:t>
                            </w:r>
                          </w:p>
                        </w:txbxContent>
                      </wps:txbx>
                      <wps:bodyPr anchor="t" lIns="91440" tIns="45720" rIns="91440" bIns="45720">
                        <a:noAutofit/>
                      </wps:bodyPr>
                    </wps:wsp>
                  </a:graphicData>
                </a:graphic>
              </wp:anchor>
            </w:drawing>
          </mc:Choice>
          <mc:Fallback>
            <w:pict>
              <v:rect style="position:absolute;rotation:0;width:195.8pt;height:24.05pt;mso-wrap-distance-left:0.6pt;mso-wrap-distance-right:0.9pt;mso-wrap-distance-top:5.7pt;mso-wrap-distance-bottom:5.7pt;margin-top:5.05pt;mso-position-vertical-relative:text;margin-left:23.7pt;mso-position-horizontal-relative:text">
                <v:textbox>
                  <w:txbxContent>
                    <w:p>
                      <w:pPr>
                        <w:pStyle w:val="Style23"/>
                        <w:jc w:val="center"/>
                        <w:rPr>
                          <w:sz w:val="22"/>
                          <w:szCs w:val="22"/>
                        </w:rPr>
                      </w:pPr>
                      <w:r>
                        <w:rPr>
                          <w:sz w:val="22"/>
                          <w:szCs w:val="22"/>
                        </w:rPr>
                        <w:t>Передача разрешения в МБУ МФЦ</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24">
                <wp:simplePos x="0" y="0"/>
                <wp:positionH relativeFrom="column">
                  <wp:posOffset>1624965</wp:posOffset>
                </wp:positionH>
                <wp:positionV relativeFrom="paragraph">
                  <wp:posOffset>110490</wp:posOffset>
                </wp:positionV>
                <wp:extent cx="1270" cy="203200"/>
                <wp:effectExtent l="55245" t="13970" r="59055" b="14605"/>
                <wp:wrapNone/>
                <wp:docPr id="32" name="AutoShape 50"/>
                <a:graphic xmlns:a="http://schemas.openxmlformats.org/drawingml/2006/main">
                  <a:graphicData uri="http://schemas.microsoft.com/office/word/2010/wordprocessingShape">
                    <wps:wsp>
                      <wps:cNvSpPr/>
                      <wps:spPr>
                        <a:xfrm>
                          <a:off x="0" y="0"/>
                          <a:ext cx="720" cy="20268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50" stroked="t" style="position:absolute;margin-left:127.95pt;margin-top:8.7pt;width:0pt;height:15.9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25">
                <wp:simplePos x="0" y="0"/>
                <wp:positionH relativeFrom="column">
                  <wp:posOffset>4396740</wp:posOffset>
                </wp:positionH>
                <wp:positionV relativeFrom="paragraph">
                  <wp:posOffset>12700</wp:posOffset>
                </wp:positionV>
                <wp:extent cx="1270" cy="169545"/>
                <wp:effectExtent l="55245" t="13970" r="58420" b="14605"/>
                <wp:wrapNone/>
                <wp:docPr id="33" name="AutoShape 51"/>
                <a:graphic xmlns:a="http://schemas.openxmlformats.org/drawingml/2006/main">
                  <a:graphicData uri="http://schemas.microsoft.com/office/word/2010/wordprocessingShape">
                    <wps:wsp>
                      <wps:cNvSpPr/>
                      <wps:spPr>
                        <a:xfrm>
                          <a:off x="0" y="0"/>
                          <a:ext cx="720" cy="16884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a:graphicData>
                </a:graphic>
              </wp:anchor>
            </w:drawing>
          </mc:Choice>
          <mc:Fallback>
            <w:pict>
              <v:shape id="shape_0" ID="AutoShape 51" stroked="t" style="position:absolute;margin-left:346.2pt;margin-top:1pt;width:0pt;height:13.25pt" type="shapetype_32">
                <w10:wrap type="none"/>
                <v:fill o:detectmouseclick="t" on="false"/>
                <v:stroke color="black" weight="9360" endarrow="block" endarrowwidth="medium" endarrowlength="medium" joinstyle="round" endcap="flat"/>
              </v:shape>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mc:AlternateContent>
          <mc:Choice Requires="wps">
            <w:drawing>
              <wp:anchor behindDoc="0" distT="0" distB="0" distL="0" distR="0" simplePos="0" locked="0" layoutInCell="1" allowOverlap="1" relativeHeight="23">
                <wp:simplePos x="0" y="0"/>
                <wp:positionH relativeFrom="column">
                  <wp:posOffset>1350645</wp:posOffset>
                </wp:positionH>
                <wp:positionV relativeFrom="paragraph">
                  <wp:posOffset>59690</wp:posOffset>
                </wp:positionV>
                <wp:extent cx="3458210" cy="305435"/>
                <wp:effectExtent l="7620" t="5080" r="11430" b="13970"/>
                <wp:wrapNone/>
                <wp:docPr id="34" name="Text Box 49"/>
                <a:graphic xmlns:a="http://schemas.openxmlformats.org/drawingml/2006/main">
                  <a:graphicData uri="http://schemas.microsoft.com/office/word/2010/wordprocessingShape">
                    <wps:wsp>
                      <wps:cNvSpPr/>
                      <wps:spPr>
                        <a:xfrm>
                          <a:off x="0" y="0"/>
                          <a:ext cx="3457440" cy="3049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ID="Text Box 49" fillcolor="white" stroked="t" style="position:absolute;margin-left:106.35pt;margin-top:4.7pt;width:272.2pt;height:23.95pt">
                <w10:wrap type="none"/>
                <v:fill o:detectmouseclick="t" type="solid" color2="black"/>
                <v:stroke color="black" weight="9360" joinstyle="miter" endcap="flat"/>
              </v:rect>
            </w:pict>
          </mc:Fallback>
        </mc:AlternateContent>
      </w:r>
      <w:r>
        <mc:AlternateContent>
          <mc:Choice Requires="wps">
            <w:drawing>
              <wp:anchor behindDoc="0" distT="0" distB="0" distL="7620" distR="11430" simplePos="0" locked="0" layoutInCell="1" allowOverlap="1" relativeHeight="36">
                <wp:simplePos x="0" y="0"/>
                <wp:positionH relativeFrom="column">
                  <wp:posOffset>1350645</wp:posOffset>
                </wp:positionH>
                <wp:positionV relativeFrom="paragraph">
                  <wp:posOffset>59690</wp:posOffset>
                </wp:positionV>
                <wp:extent cx="3458210" cy="305435"/>
                <wp:effectExtent l="0" t="0" r="0" b="0"/>
                <wp:wrapNone/>
                <wp:docPr id="35" name="Врезка13"/>
                <a:graphic xmlns:a="http://schemas.openxmlformats.org/drawingml/2006/main">
                  <a:graphicData uri="http://schemas.microsoft.com/office/word/2010/wordprocessingShape">
                    <wps:wsp>
                      <wps:cNvSpPr txBox="1"/>
                      <wps:spPr>
                        <a:xfrm>
                          <a:off x="0" y="0"/>
                          <a:ext cx="3458210" cy="305435"/>
                        </a:xfrm>
                        <a:prstGeom prst="rect"/>
                      </wps:spPr>
                      <wps:txbx>
                        <w:txbxContent>
                          <w:p>
                            <w:pPr>
                              <w:pStyle w:val="Style23"/>
                              <w:jc w:val="center"/>
                              <w:rPr>
                                <w:sz w:val="22"/>
                                <w:szCs w:val="22"/>
                              </w:rPr>
                            </w:pPr>
                            <w:r>
                              <w:rPr>
                                <w:sz w:val="22"/>
                                <w:szCs w:val="22"/>
                              </w:rPr>
                              <w:t>Выдача результата услуги заявителю</w:t>
                            </w:r>
                          </w:p>
                        </w:txbxContent>
                      </wps:txbx>
                      <wps:bodyPr anchor="t" lIns="91440" tIns="45720" rIns="91440" bIns="45720">
                        <a:noAutofit/>
                      </wps:bodyPr>
                    </wps:wsp>
                  </a:graphicData>
                </a:graphic>
              </wp:anchor>
            </w:drawing>
          </mc:Choice>
          <mc:Fallback>
            <w:pict>
              <v:rect style="position:absolute;rotation:0;width:272.3pt;height:24.05pt;mso-wrap-distance-left:0.6pt;mso-wrap-distance-right:0.9pt;mso-wrap-distance-top:5.7pt;mso-wrap-distance-bottom:5.7pt;margin-top:4.7pt;mso-position-vertical-relative:text;margin-left:106.35pt;mso-position-horizontal-relative:text">
                <v:textbox>
                  <w:txbxContent>
                    <w:p>
                      <w:pPr>
                        <w:pStyle w:val="Style23"/>
                        <w:jc w:val="center"/>
                        <w:rPr>
                          <w:sz w:val="22"/>
                          <w:szCs w:val="22"/>
                        </w:rPr>
                      </w:pPr>
                      <w:r>
                        <w:rPr>
                          <w:sz w:val="22"/>
                          <w:szCs w:val="22"/>
                        </w:rPr>
                        <w:t>Выдача результата услуги заявителю</w:t>
                      </w:r>
                    </w:p>
                  </w:txbxContent>
                </v:textbox>
              </v:rect>
            </w:pict>
          </mc:Fallback>
        </mc:AlternateContent>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jc w:val="both"/>
        <w:rPr>
          <w:rFonts w:ascii="Times New Roman" w:hAnsi="Times New Roman" w:eastAsia="Calibri" w:cs="Courier New" w:eastAsiaTheme="minorHAnsi"/>
          <w:color w:val="auto"/>
          <w:sz w:val="18"/>
          <w:szCs w:val="18"/>
          <w:lang w:eastAsia="en-US"/>
        </w:rPr>
      </w:pPr>
      <w:r>
        <w:rPr>
          <w:rFonts w:eastAsia="Calibri" w:cs="Courier New" w:eastAsiaTheme="minorHAnsi" w:ascii="Times New Roman" w:hAnsi="Times New Roman"/>
          <w:color w:val="auto"/>
          <w:sz w:val="18"/>
          <w:szCs w:val="18"/>
          <w:lang w:eastAsia="en-US"/>
        </w:rPr>
      </w:r>
    </w:p>
    <w:p>
      <w:pPr>
        <w:pStyle w:val="Normal"/>
        <w:numPr>
          <w:ilvl w:val="0"/>
          <w:numId w:val="0"/>
        </w:numPr>
        <w:jc w:val="right"/>
        <w:outlineLvl w:val="0"/>
        <w:rPr>
          <w:rFonts w:eastAsia="Calibri" w:eastAsiaTheme="minorHAnsi"/>
          <w:sz w:val="22"/>
          <w:szCs w:val="22"/>
          <w:lang w:eastAsia="en-US"/>
        </w:rPr>
      </w:pPr>
      <w:r>
        <w:rPr>
          <w:rFonts w:ascii="Times New Roman" w:hAnsi="Times New Roman"/>
          <w:color w:val="auto"/>
        </w:rPr>
      </w:r>
      <w:r>
        <w:br w:type="page"/>
      </w:r>
    </w:p>
    <w:p>
      <w:pPr>
        <w:pStyle w:val="Normal"/>
        <w:widowControl/>
        <w:numPr>
          <w:ilvl w:val="0"/>
          <w:numId w:val="0"/>
        </w:numPr>
        <w:suppressAutoHyphens w:val="true"/>
        <w:overflowPunct w:val="true"/>
        <w:bidi w:val="0"/>
        <w:spacing w:lineRule="auto" w:line="240" w:before="0" w:after="0"/>
        <w:ind w:left="4535" w:right="0" w:hanging="0"/>
        <w:jc w:val="center"/>
        <w:outlineLvl w:val="0"/>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Приложение N </w:t>
      </w:r>
      <w:r>
        <w:rPr>
          <w:rFonts w:eastAsia="Calibri" w:ascii="Times New Roman" w:hAnsi="Times New Roman" w:eastAsiaTheme="minorHAnsi"/>
          <w:color w:val="auto"/>
          <w:sz w:val="24"/>
          <w:szCs w:val="24"/>
          <w:lang w:eastAsia="en-US"/>
        </w:rPr>
        <w:t>2</w:t>
      </w:r>
    </w:p>
    <w:p>
      <w:pPr>
        <w:pStyle w:val="Normal"/>
        <w:widowControl/>
        <w:numPr>
          <w:ilvl w:val="0"/>
          <w:numId w:val="0"/>
        </w:numPr>
        <w:suppressAutoHyphens w:val="true"/>
        <w:overflowPunct w:val="true"/>
        <w:bidi w:val="0"/>
        <w:spacing w:lineRule="auto" w:line="240" w:before="0" w:after="0"/>
        <w:ind w:left="4535" w:right="0" w:hanging="0"/>
        <w:jc w:val="center"/>
        <w:rPr>
          <w:rFonts w:ascii="Times New Roman" w:hAnsi="Times New Roman"/>
          <w:color w:val="auto"/>
          <w:sz w:val="24"/>
          <w:szCs w:val="24"/>
        </w:rPr>
      </w:pPr>
      <w:r>
        <w:rPr>
          <w:rFonts w:eastAsia="Calibri" w:ascii="Times New Roman" w:hAnsi="Times New Roman" w:eastAsiaTheme="minorHAnsi"/>
          <w:color w:val="auto"/>
          <w:sz w:val="24"/>
          <w:szCs w:val="24"/>
          <w:lang w:eastAsia="en-US"/>
        </w:rPr>
        <w:t>к административному регламенту администрации Шарангского муниципального района по предоставлению муниципальной услуги «</w:t>
      </w:r>
      <w:r>
        <w:rPr>
          <w:rFonts w:ascii="Times New Roman" w:hAnsi="Times New Roman"/>
          <w:color w:val="auto"/>
          <w:sz w:val="24"/>
          <w:szCs w:val="24"/>
        </w:rPr>
        <w:t>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r>
        <w:rPr>
          <w:rFonts w:eastAsia="Calibri" w:ascii="Times New Roman" w:hAnsi="Times New Roman" w:eastAsiaTheme="minorHAnsi"/>
          <w:color w:val="auto"/>
          <w:sz w:val="24"/>
          <w:szCs w:val="24"/>
          <w:lang w:eastAsia="en-US"/>
        </w:rPr>
        <w:t>»</w:t>
      </w:r>
    </w:p>
    <w:p>
      <w:pPr>
        <w:pStyle w:val="Normal"/>
        <w:widowControl/>
        <w:numPr>
          <w:ilvl w:val="0"/>
          <w:numId w:val="0"/>
        </w:numPr>
        <w:suppressAutoHyphens w:val="true"/>
        <w:overflowPunct w:val="true"/>
        <w:bidi w:val="0"/>
        <w:spacing w:lineRule="auto" w:line="240" w:before="0" w:after="0"/>
        <w:ind w:left="4535" w:right="0" w:hanging="0"/>
        <w:jc w:val="center"/>
        <w:rPr>
          <w:rFonts w:eastAsia="Calibri" w:eastAsiaTheme="minorHAnsi"/>
          <w:lang w:eastAsia="en-US"/>
        </w:rPr>
      </w:pPr>
      <w:r>
        <w:rPr>
          <w:rFonts w:ascii="Times New Roman" w:hAnsi="Times New Roman"/>
          <w:color w:val="auto"/>
          <w:sz w:val="24"/>
          <w:szCs w:val="24"/>
        </w:rPr>
      </w:r>
    </w:p>
    <w:p>
      <w:pPr>
        <w:pStyle w:val="Normal"/>
        <w:numPr>
          <w:ilvl w:val="0"/>
          <w:numId w:val="0"/>
        </w:numPr>
        <w:spacing w:lineRule="auto" w:line="240" w:before="0" w:after="0"/>
        <w:ind w:left="0" w:right="0" w:firstLine="567"/>
        <w:jc w:val="both"/>
        <w:outlineLvl w:val="0"/>
        <w:rPr>
          <w:rFonts w:eastAsia="Calibri" w:eastAsiaTheme="minorHAnsi"/>
          <w:sz w:val="22"/>
          <w:szCs w:val="22"/>
          <w:lang w:eastAsia="en-US"/>
        </w:rPr>
      </w:pPr>
      <w:r>
        <w:rPr>
          <w:rFonts w:eastAsia="Calibri" w:eastAsiaTheme="minorHAnsi" w:ascii="Times New Roman" w:hAnsi="Times New Roman"/>
          <w:color w:val="auto"/>
          <w:sz w:val="24"/>
          <w:szCs w:val="24"/>
          <w:lang w:eastAsia="en-US"/>
        </w:rPr>
      </w:r>
    </w:p>
    <w:p>
      <w:pPr>
        <w:pStyle w:val="Normal"/>
        <w:jc w:val="center"/>
        <w:rPr>
          <w:rFonts w:ascii="Times New Roman" w:hAnsi="Times New Roman"/>
          <w:color w:val="auto"/>
        </w:rPr>
      </w:pPr>
      <w:r>
        <w:rPr>
          <w:rFonts w:ascii="Times New Roman" w:hAnsi="Times New Roman"/>
          <w:color w:val="auto"/>
          <w:sz w:val="22"/>
          <w:szCs w:val="22"/>
        </w:rPr>
        <w:t>ОБРАЗЕЦ</w:t>
      </w:r>
    </w:p>
    <w:p>
      <w:pPr>
        <w:pStyle w:val="Normal"/>
        <w:jc w:val="center"/>
        <w:rPr>
          <w:rFonts w:ascii="Times New Roman" w:hAnsi="Times New Roman"/>
          <w:color w:val="auto"/>
        </w:rPr>
      </w:pPr>
      <w:r>
        <w:rPr>
          <w:rFonts w:ascii="Times New Roman" w:hAnsi="Times New Roman"/>
          <w:color w:val="auto"/>
          <w:sz w:val="22"/>
          <w:szCs w:val="22"/>
        </w:rPr>
        <w:t>ЗАЯВЛЕНИЯ О ВЫДАЧЕ РАЗРЕШЕНИЯ НА СТРОИТЕЛЬСТВО</w:t>
      </w:r>
    </w:p>
    <w:p>
      <w:pPr>
        <w:pStyle w:val="Normal"/>
        <w:jc w:val="center"/>
        <w:rPr>
          <w:rFonts w:ascii="Times New Roman" w:hAnsi="Times New Roman"/>
          <w:color w:val="auto"/>
          <w:sz w:val="22"/>
          <w:szCs w:val="22"/>
        </w:rPr>
      </w:pPr>
      <w:r>
        <w:rPr>
          <w:rFonts w:ascii="Times New Roman" w:hAnsi="Times New Roman"/>
          <w:color w:val="auto"/>
          <w:sz w:val="22"/>
          <w:szCs w:val="22"/>
        </w:rPr>
      </w:r>
    </w:p>
    <w:p>
      <w:pPr>
        <w:pStyle w:val="Normal"/>
        <w:jc w:val="center"/>
        <w:rPr>
          <w:rFonts w:ascii="Times New Roman" w:hAnsi="Times New Roman"/>
          <w:color w:val="auto"/>
          <w:sz w:val="22"/>
          <w:szCs w:val="22"/>
        </w:rPr>
      </w:pPr>
      <w:r>
        <w:rPr>
          <w:rFonts w:ascii="Times New Roman" w:hAnsi="Times New Roman"/>
          <w:color w:val="auto"/>
          <w:sz w:val="22"/>
          <w:szCs w:val="22"/>
        </w:rPr>
      </w:r>
    </w:p>
    <w:p>
      <w:pPr>
        <w:pStyle w:val="Normal"/>
        <w:jc w:val="right"/>
        <w:rPr>
          <w:rFonts w:ascii="Times New Roman" w:hAnsi="Times New Roman"/>
          <w:color w:val="auto"/>
        </w:rPr>
      </w:pPr>
      <w:r>
        <w:rPr>
          <w:rFonts w:ascii="Times New Roman" w:hAnsi="Times New Roman"/>
          <w:color w:val="auto"/>
        </w:rPr>
        <w:t>В _______________________________________________</w:t>
      </w:r>
    </w:p>
    <w:p>
      <w:pPr>
        <w:pStyle w:val="Normal"/>
        <w:jc w:val="right"/>
        <w:rPr>
          <w:rFonts w:ascii="Times New Roman" w:hAnsi="Times New Roman"/>
          <w:color w:val="auto"/>
        </w:rPr>
      </w:pPr>
      <w:r>
        <w:rPr>
          <w:rFonts w:ascii="Times New Roman" w:hAnsi="Times New Roman"/>
          <w:color w:val="auto"/>
        </w:rPr>
        <w:t>(наименование органа, уполномоченного на выдачу</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_________________________________________________</w:t>
      </w:r>
    </w:p>
    <w:p>
      <w:pPr>
        <w:pStyle w:val="Normal"/>
        <w:jc w:val="right"/>
        <w:rPr>
          <w:rFonts w:ascii="Times New Roman" w:hAnsi="Times New Roman"/>
          <w:color w:val="auto"/>
        </w:rPr>
      </w:pPr>
      <w:r>
        <w:rPr>
          <w:rFonts w:ascii="Times New Roman" w:hAnsi="Times New Roman"/>
          <w:color w:val="auto"/>
        </w:rPr>
        <w:t>разрешения)</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Застройщик ______________________________________</w:t>
      </w:r>
    </w:p>
    <w:p>
      <w:pPr>
        <w:pStyle w:val="Normal"/>
        <w:jc w:val="right"/>
        <w:rPr>
          <w:rFonts w:ascii="Times New Roman" w:hAnsi="Times New Roman"/>
          <w:color w:val="auto"/>
        </w:rPr>
      </w:pPr>
      <w:r>
        <w:rPr>
          <w:rFonts w:ascii="Times New Roman" w:hAnsi="Times New Roman"/>
          <w:color w:val="auto"/>
        </w:rPr>
        <w:t>(полное наименование заявителя,</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_________________________________________________</w:t>
      </w:r>
    </w:p>
    <w:p>
      <w:pPr>
        <w:pStyle w:val="Normal"/>
        <w:jc w:val="right"/>
        <w:rPr>
          <w:rFonts w:ascii="Times New Roman" w:hAnsi="Times New Roman"/>
          <w:color w:val="auto"/>
        </w:rPr>
      </w:pPr>
      <w:r>
        <w:rPr>
          <w:rFonts w:ascii="Times New Roman" w:hAnsi="Times New Roman"/>
          <w:color w:val="auto"/>
        </w:rPr>
        <w:t>юридический, почтовый адрес; Ф.И.О. руководителя;</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_________________________________________________</w:t>
      </w:r>
    </w:p>
    <w:p>
      <w:pPr>
        <w:pStyle w:val="Normal"/>
        <w:jc w:val="right"/>
        <w:rPr>
          <w:rFonts w:ascii="Times New Roman" w:hAnsi="Times New Roman"/>
          <w:color w:val="auto"/>
        </w:rPr>
      </w:pPr>
      <w:r>
        <w:rPr>
          <w:rFonts w:ascii="Times New Roman" w:hAnsi="Times New Roman"/>
          <w:color w:val="auto"/>
        </w:rPr>
        <w:t>телефон; банковские реквизиты (наименование</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_________________________________________________</w:t>
      </w:r>
    </w:p>
    <w:p>
      <w:pPr>
        <w:pStyle w:val="Normal"/>
        <w:jc w:val="right"/>
        <w:rPr>
          <w:rFonts w:ascii="Times New Roman" w:hAnsi="Times New Roman"/>
          <w:color w:val="auto"/>
        </w:rPr>
      </w:pPr>
      <w:r>
        <w:rPr>
          <w:rFonts w:ascii="Times New Roman" w:hAnsi="Times New Roman"/>
          <w:color w:val="auto"/>
        </w:rPr>
        <w:t>банка, р/с, к/с, БИК)</w:t>
      </w:r>
    </w:p>
    <w:p>
      <w:pPr>
        <w:pStyle w:val="Normal"/>
        <w:jc w:val="right"/>
        <w:rPr>
          <w:rFonts w:ascii="Times New Roman" w:hAnsi="Times New Roman"/>
          <w:color w:val="auto"/>
        </w:rPr>
      </w:pPr>
      <w:r>
        <w:rPr>
          <w:rFonts w:ascii="Times New Roman" w:hAnsi="Times New Roman"/>
          <w:color w:val="auto"/>
        </w:rPr>
      </w:r>
    </w:p>
    <w:p>
      <w:pPr>
        <w:pStyle w:val="Normal"/>
        <w:jc w:val="right"/>
        <w:rPr>
          <w:rFonts w:ascii="Times New Roman" w:hAnsi="Times New Roman"/>
          <w:color w:val="auto"/>
        </w:rPr>
      </w:pPr>
      <w:r>
        <w:rPr>
          <w:rFonts w:ascii="Times New Roman" w:hAnsi="Times New Roman"/>
          <w:color w:val="auto"/>
        </w:rPr>
        <w:t>_________________________________________________</w:t>
      </w:r>
    </w:p>
    <w:p>
      <w:pPr>
        <w:pStyle w:val="Normal"/>
        <w:jc w:val="center"/>
        <w:rPr>
          <w:rFonts w:ascii="Times New Roman" w:hAnsi="Times New Roman"/>
          <w:color w:val="auto"/>
        </w:rPr>
      </w:pPr>
      <w:r>
        <w:rPr>
          <w:rFonts w:ascii="Times New Roman" w:hAnsi="Times New Roman"/>
          <w:color w:val="auto"/>
        </w:rPr>
      </w:r>
    </w:p>
    <w:p>
      <w:pPr>
        <w:pStyle w:val="Normal"/>
        <w:jc w:val="center"/>
        <w:rPr>
          <w:rFonts w:ascii="Times New Roman" w:hAnsi="Times New Roman"/>
          <w:color w:val="auto"/>
        </w:rPr>
      </w:pPr>
      <w:r>
        <w:rPr>
          <w:rFonts w:ascii="Times New Roman" w:hAnsi="Times New Roman"/>
          <w:color w:val="auto"/>
        </w:rPr>
      </w:r>
    </w:p>
    <w:p>
      <w:pPr>
        <w:pStyle w:val="Normal"/>
        <w:jc w:val="center"/>
        <w:rPr>
          <w:rFonts w:ascii="Times New Roman" w:hAnsi="Times New Roman"/>
          <w:color w:val="auto"/>
        </w:rPr>
      </w:pPr>
      <w:r>
        <w:rPr>
          <w:rFonts w:ascii="Times New Roman" w:hAnsi="Times New Roman"/>
          <w:color w:val="auto"/>
          <w:sz w:val="22"/>
          <w:szCs w:val="22"/>
        </w:rPr>
        <w:t>ЗАЯВЛЕНИЕ</w:t>
      </w:r>
    </w:p>
    <w:p>
      <w:pPr>
        <w:pStyle w:val="Normal"/>
        <w:jc w:val="center"/>
        <w:rPr>
          <w:rFonts w:ascii="Times New Roman" w:hAnsi="Times New Roman"/>
          <w:color w:val="auto"/>
        </w:rPr>
      </w:pPr>
      <w:r>
        <w:rPr>
          <w:rFonts w:ascii="Times New Roman" w:hAnsi="Times New Roman"/>
          <w:color w:val="auto"/>
          <w:sz w:val="22"/>
          <w:szCs w:val="22"/>
        </w:rPr>
        <w:t>от "__" ____________ 20__</w:t>
      </w:r>
      <w:r>
        <w:rPr>
          <w:rFonts w:ascii="Times New Roman" w:hAnsi="Times New Roman"/>
          <w:color w:val="auto"/>
          <w:sz w:val="22"/>
          <w:szCs w:val="22"/>
          <w:u w:val="none"/>
        </w:rPr>
        <w:t>__</w:t>
      </w:r>
      <w:r>
        <w:rPr>
          <w:rFonts w:ascii="Times New Roman" w:hAnsi="Times New Roman"/>
          <w:color w:val="auto"/>
          <w:sz w:val="22"/>
          <w:szCs w:val="22"/>
        </w:rPr>
        <w:t>года</w:t>
      </w:r>
    </w:p>
    <w:p>
      <w:pPr>
        <w:pStyle w:val="Normal"/>
        <w:jc w:val="center"/>
        <w:rPr>
          <w:rFonts w:ascii="Times New Roman" w:hAnsi="Times New Roman"/>
          <w:color w:val="auto"/>
          <w:sz w:val="22"/>
          <w:szCs w:val="22"/>
        </w:rPr>
      </w:pPr>
      <w:r>
        <w:rPr>
          <w:rFonts w:ascii="Times New Roman" w:hAnsi="Times New Roman"/>
          <w:color w:val="auto"/>
          <w:sz w:val="22"/>
          <w:szCs w:val="22"/>
        </w:rPr>
      </w:r>
    </w:p>
    <w:p>
      <w:pPr>
        <w:pStyle w:val="Normal"/>
        <w:jc w:val="center"/>
        <w:rPr>
          <w:rFonts w:ascii="Times New Roman" w:hAnsi="Times New Roman"/>
          <w:color w:val="auto"/>
          <w:sz w:val="22"/>
          <w:szCs w:val="22"/>
        </w:rPr>
      </w:pPr>
      <w:r>
        <w:rPr>
          <w:rFonts w:ascii="Times New Roman" w:hAnsi="Times New Roman"/>
          <w:color w:val="auto"/>
          <w:sz w:val="22"/>
          <w:szCs w:val="22"/>
        </w:rPr>
      </w:r>
    </w:p>
    <w:p>
      <w:pPr>
        <w:pStyle w:val="ConsPlusNonformat"/>
        <w:jc w:val="both"/>
        <w:rPr>
          <w:rFonts w:ascii="Times New Roman" w:hAnsi="Times New Roman"/>
          <w:color w:val="auto"/>
        </w:rPr>
      </w:pPr>
      <w:r>
        <w:rPr>
          <w:rFonts w:cs="Times New Roman" w:ascii="Times New Roman" w:hAnsi="Times New Roman"/>
          <w:color w:val="auto"/>
          <w:sz w:val="22"/>
          <w:szCs w:val="22"/>
        </w:rPr>
        <w:t>Прошу выдать разрешение на строительство, реконструкцию объекта капитального строительства:</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(наименование объекта капитального строительства в соответствии с проектной документацией, схемой планировочной организации земельного участка в целях строительства или реконструкции объекта индивидуального жилищного строительства; описание этапа строительства, реконструкции, если необходимо разрешение на этап строительства, реконструкции) </w:t>
      </w:r>
    </w:p>
    <w:p>
      <w:pPr>
        <w:pStyle w:val="ConsPlusNonformat"/>
        <w:jc w:val="left"/>
        <w:rPr>
          <w:rFonts w:ascii="Times New Roman" w:hAnsi="Times New Roman"/>
          <w:color w:val="auto"/>
        </w:rPr>
      </w:pPr>
      <w:r>
        <w:rPr>
          <w:rFonts w:cs="Times New Roman" w:ascii="Times New Roman" w:hAnsi="Times New Roman"/>
          <w:color w:val="auto"/>
          <w:sz w:val="22"/>
          <w:szCs w:val="22"/>
        </w:rPr>
        <w:t>расположенного на земельном участке с местоположением:</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(кадастровый номер земельного участка, полный адрес объекта капитальногостроительства или строительный адрес, реквизиты документа, удостоверяющего право застройщика на земельный участок) на _________ месяца(ев).</w:t>
      </w:r>
    </w:p>
    <w:p>
      <w:pPr>
        <w:pStyle w:val="ConsPlusNonformat"/>
        <w:jc w:val="both"/>
        <w:rPr>
          <w:rFonts w:ascii="Times New Roman" w:hAnsi="Times New Roman"/>
          <w:color w:val="auto"/>
        </w:rPr>
      </w:pPr>
      <w:r>
        <w:rPr>
          <w:rFonts w:cs="Times New Roman" w:ascii="Times New Roman" w:hAnsi="Times New Roman"/>
          <w:color w:val="auto"/>
          <w:sz w:val="22"/>
          <w:szCs w:val="22"/>
        </w:rPr>
        <w:t>Краткие проектные характеристики объекта в соответствии с утвержденной проектной документацией (схемой планировочной организации земельного участка в целях строительства или реконструкции объекта индивидуального жилищного строительства):</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(в обязательном порядке указываются общая площадь, объем (в том числе подземной части), количество этажей (в том числе количество подземных этажей), высота, площадь застройки, площадь участка, высота, вместимость, иные показатели, необходимые для осуществления государственного кадастрового учета объекта капитального строительства) </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При этом сообщаю: </w:t>
      </w:r>
    </w:p>
    <w:p>
      <w:pPr>
        <w:pStyle w:val="ConsPlusNonformat"/>
        <w:jc w:val="both"/>
        <w:rPr>
          <w:rFonts w:ascii="Times New Roman" w:hAnsi="Times New Roman"/>
          <w:color w:val="auto"/>
        </w:rPr>
      </w:pPr>
      <w:r>
        <w:rPr>
          <w:rFonts w:cs="Times New Roman" w:ascii="Times New Roman" w:hAnsi="Times New Roman"/>
          <w:color w:val="auto"/>
          <w:sz w:val="22"/>
          <w:szCs w:val="22"/>
        </w:rPr>
        <w:t>- проектная документация (схема планировочной организации земельного участка в целях строительства или реконструкции объекта индивидуального жилищного строительства) подготовлена</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(указывается наименование лица, осуществившего подготовку проектной документации или СПОЗУ)</w:t>
      </w:r>
    </w:p>
    <w:p>
      <w:pPr>
        <w:pStyle w:val="ConsPlusNonformat"/>
        <w:jc w:val="both"/>
        <w:rPr>
          <w:rFonts w:ascii="Times New Roman" w:hAnsi="Times New Roman"/>
          <w:color w:val="auto"/>
        </w:rPr>
      </w:pPr>
      <w:r>
        <w:rPr>
          <w:rFonts w:cs="Times New Roman" w:ascii="Times New Roman" w:hAnsi="Times New Roman"/>
          <w:color w:val="auto"/>
          <w:sz w:val="22"/>
          <w:szCs w:val="22"/>
        </w:rPr>
        <w:t>Обязуюсь обо всех изменениях, связанных с приведенными в настоящем заявлении сведениями, сообщать в уполномоченный орган, выдавший разрешение на строительство.</w:t>
      </w:r>
    </w:p>
    <w:p>
      <w:pPr>
        <w:pStyle w:val="ConsPlusNonformat"/>
        <w:jc w:val="both"/>
        <w:rPr>
          <w:rFonts w:ascii="Times New Roman" w:hAnsi="Times New Roman"/>
          <w:color w:val="auto"/>
        </w:rPr>
      </w:pPr>
      <w:r>
        <w:rPr>
          <w:rFonts w:cs="Times New Roman" w:ascii="Times New Roman" w:hAnsi="Times New Roman"/>
          <w:color w:val="auto"/>
          <w:sz w:val="22"/>
          <w:szCs w:val="22"/>
        </w:rPr>
        <w:t>1. Сведения о градостроительном плане земельного участка: 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(номер, дата выдачи)</w:t>
      </w:r>
    </w:p>
    <w:p>
      <w:pPr>
        <w:pStyle w:val="ConsPlusNonformat"/>
        <w:jc w:val="both"/>
        <w:rPr>
          <w:rFonts w:ascii="Times New Roman" w:hAnsi="Times New Roman"/>
          <w:color w:val="auto"/>
        </w:rPr>
      </w:pPr>
      <w:r>
        <w:rPr>
          <w:rFonts w:cs="Times New Roman" w:ascii="Times New Roman" w:hAnsi="Times New Roman"/>
          <w:color w:val="auto"/>
          <w:sz w:val="22"/>
          <w:szCs w:val="22"/>
        </w:rPr>
        <w:t>2. Сведения об объекте капитального строительства, подлежащего реконструкции:</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 xml:space="preserve">(назначение объекта капитального строительства, инвентаризационный (кадастровый) номер) </w:t>
      </w:r>
    </w:p>
    <w:p>
      <w:pPr>
        <w:pStyle w:val="ConsPlusNonformat"/>
        <w:jc w:val="both"/>
        <w:rPr>
          <w:rFonts w:ascii="Times New Roman" w:hAnsi="Times New Roman"/>
          <w:color w:val="auto"/>
        </w:rPr>
      </w:pPr>
      <w:r>
        <w:rPr>
          <w:rFonts w:cs="Times New Roman" w:ascii="Times New Roman" w:hAnsi="Times New Roman"/>
          <w:color w:val="auto"/>
          <w:sz w:val="22"/>
          <w:szCs w:val="22"/>
        </w:rPr>
        <w:t>3. Сведения о предоставлении разрешения на условно разрешенный вид использования земельного участка 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(наименование и реквизиты нормативно-правового акта органа местного самоуправления поселения)</w:t>
      </w:r>
    </w:p>
    <w:p>
      <w:pPr>
        <w:pStyle w:val="ConsPlusNonformat"/>
        <w:jc w:val="both"/>
        <w:rPr>
          <w:rFonts w:ascii="Times New Roman" w:hAnsi="Times New Roman"/>
          <w:color w:val="auto"/>
        </w:rPr>
      </w:pPr>
      <w:r>
        <w:rPr>
          <w:rFonts w:cs="Times New Roman" w:ascii="Times New Roman" w:hAnsi="Times New Roman"/>
          <w:color w:val="auto"/>
          <w:sz w:val="22"/>
          <w:szCs w:val="22"/>
        </w:rPr>
        <w:t>4. Сведения о предоставлении разрешения на отклонение от предельных парт</w:t>
      </w:r>
      <w:r>
        <w:rPr>
          <w:rFonts w:cs="Times New Roman" w:ascii="Times New Roman" w:hAnsi="Times New Roman"/>
          <w:color w:val="auto"/>
          <w:sz w:val="22"/>
          <w:szCs w:val="22"/>
        </w:rPr>
        <w:t>н</w:t>
      </w:r>
      <w:r>
        <w:rPr>
          <w:rFonts w:cs="Times New Roman" w:ascii="Times New Roman" w:hAnsi="Times New Roman"/>
          <w:color w:val="auto"/>
          <w:sz w:val="22"/>
          <w:szCs w:val="22"/>
        </w:rPr>
        <w:t>еров разрешенного строительства 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(наименование и реквизиты нормативно-правового акта органа местного самоуправления поселения)</w:t>
      </w:r>
    </w:p>
    <w:p>
      <w:pPr>
        <w:pStyle w:val="ConsPlusNonformat"/>
        <w:jc w:val="both"/>
        <w:rPr>
          <w:rFonts w:ascii="Times New Roman" w:hAnsi="Times New Roman"/>
          <w:color w:val="auto"/>
        </w:rPr>
      </w:pPr>
      <w:r>
        <w:rPr>
          <w:rFonts w:cs="Times New Roman" w:ascii="Times New Roman" w:hAnsi="Times New Roman"/>
          <w:color w:val="auto"/>
          <w:sz w:val="22"/>
          <w:szCs w:val="22"/>
        </w:rPr>
        <w:t>5. Для удостоверения предоставления муниципальной услуги прошу выдать результат муниципальной услуги:</w:t>
      </w:r>
    </w:p>
    <w:p>
      <w:pPr>
        <w:pStyle w:val="ConsPlusNormal"/>
        <w:jc w:val="both"/>
        <w:rPr>
          <w:rFonts w:ascii="Times New Roman" w:hAnsi="Times New Roman"/>
          <w:color w:val="auto"/>
          <w:sz w:val="22"/>
          <w:szCs w:val="22"/>
        </w:rPr>
      </w:pPr>
      <w:r>
        <w:rPr>
          <w:rFonts w:ascii="Times New Roman" w:hAnsi="Times New Roman"/>
          <w:color w:val="auto"/>
          <w:sz w:val="22"/>
          <w:szCs w:val="22"/>
        </w:rPr>
      </w:r>
    </w:p>
    <w:tbl>
      <w:tblPr>
        <w:tblW w:w="9585" w:type="dxa"/>
        <w:jc w:val="left"/>
        <w:tblInd w:w="62" w:type="dxa"/>
        <w:tblCellMar>
          <w:top w:w="102" w:type="dxa"/>
          <w:left w:w="62" w:type="dxa"/>
          <w:bottom w:w="102" w:type="dxa"/>
          <w:right w:w="62" w:type="dxa"/>
        </w:tblCellMar>
        <w:tblLook w:firstRow="0" w:noVBand="0" w:lastRow="0" w:firstColumn="0" w:lastColumn="0" w:noHBand="0" w:val="0000"/>
      </w:tblPr>
      <w:tblGrid>
        <w:gridCol w:w="7650"/>
        <w:gridCol w:w="1935"/>
      </w:tblGrid>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Лично</w:t>
            </w:r>
          </w:p>
        </w:tc>
        <w:tc>
          <w:tcPr>
            <w:tcW w:w="1935"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Через МФЦ</w:t>
            </w:r>
          </w:p>
        </w:tc>
        <w:tc>
          <w:tcPr>
            <w:tcW w:w="1935"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Почтой заказным письмом с уведомлением по почтовому адресу, указанному заявителем для этой цели в заявлении</w:t>
            </w:r>
          </w:p>
        </w:tc>
        <w:tc>
          <w:tcPr>
            <w:tcW w:w="1935"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Посредством Единого или Регионального портала (с момента реализации технической возможности)</w:t>
            </w:r>
          </w:p>
        </w:tc>
        <w:tc>
          <w:tcPr>
            <w:tcW w:w="1935"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bl>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(указать способ предоставления муниципальной услуги в правом столбце)</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color w:val="auto"/>
        </w:rPr>
      </w:pPr>
      <w:r>
        <w:rPr>
          <w:rFonts w:cs="Times New Roman" w:ascii="Times New Roman" w:hAnsi="Times New Roman"/>
          <w:color w:val="auto"/>
          <w:sz w:val="22"/>
          <w:szCs w:val="22"/>
        </w:rPr>
        <w:t xml:space="preserve">В соответствии с Федеральным </w:t>
      </w:r>
      <w:r>
        <w:rPr>
          <w:rFonts w:cs="Times New Roman" w:ascii="Times New Roman" w:hAnsi="Times New Roman"/>
          <w:color w:val="auto"/>
          <w:sz w:val="22"/>
          <w:szCs w:val="22"/>
        </w:rPr>
        <w:t>законом</w:t>
      </w:r>
      <w:r>
        <w:rPr>
          <w:rFonts w:cs="Times New Roman" w:ascii="Times New Roman" w:hAnsi="Times New Roman"/>
          <w:color w:val="auto"/>
          <w:sz w:val="22"/>
          <w:szCs w:val="22"/>
        </w:rPr>
        <w:t xml:space="preserve"> от 27.07.2006 N 152-ФЗ "О персональных данных" я (мы), 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добровольно выражаю(ем) согласие на обработку своих персональных данных, включая сбор, запись, систематизацию, накопление, хранение, уточнение (обновление, использование), извлечение, использование, передачу (распространение, предоставление, доступ), обезличивание, блокирование, удаление, уничтожение персональных данных, в целях оказания муниципальной услуги.</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rFonts w:ascii="Times New Roman" w:hAnsi="Times New Roman"/>
          <w:color w:val="auto"/>
        </w:rPr>
      </w:pPr>
      <w:r>
        <w:rPr>
          <w:rFonts w:cs="Times New Roman" w:ascii="Times New Roman" w:hAnsi="Times New Roman"/>
          <w:color w:val="auto"/>
          <w:sz w:val="22"/>
          <w:szCs w:val="22"/>
        </w:rPr>
        <w:t>Застройщик:</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__________________ </w:t>
        <w:tab/>
        <w:t xml:space="preserve">______________ </w:t>
        <w:tab/>
        <w:t>_________________</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 xml:space="preserve">(должность) </w:t>
        <w:tab/>
        <w:t xml:space="preserve">(подпись) </w:t>
        <w:tab/>
        <w:t>(Ф.И.О.)</w:t>
      </w:r>
    </w:p>
    <w:p>
      <w:pPr>
        <w:pStyle w:val="ConsPlusNormal"/>
        <w:ind w:firstLine="540"/>
        <w:jc w:val="both"/>
        <w:rPr>
          <w:rFonts w:ascii="Times New Roman" w:hAnsi="Times New Roman"/>
          <w:color w:val="auto"/>
        </w:rPr>
      </w:pPr>
      <w:r>
        <w:rPr>
          <w:rFonts w:ascii="Times New Roman" w:hAnsi="Times New Roman"/>
          <w:color w:val="auto"/>
        </w:rPr>
      </w:r>
      <w:r>
        <w:br w:type="page"/>
      </w:r>
    </w:p>
    <w:p>
      <w:pPr>
        <w:pStyle w:val="Normal"/>
        <w:widowControl/>
        <w:numPr>
          <w:ilvl w:val="0"/>
          <w:numId w:val="0"/>
        </w:numPr>
        <w:suppressAutoHyphens w:val="true"/>
        <w:overflowPunct w:val="true"/>
        <w:bidi w:val="0"/>
        <w:spacing w:lineRule="auto" w:line="240" w:before="0" w:after="0"/>
        <w:ind w:left="4535" w:right="0" w:hanging="0"/>
        <w:jc w:val="center"/>
        <w:outlineLvl w:val="0"/>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Приложение N </w:t>
      </w:r>
      <w:r>
        <w:rPr>
          <w:rFonts w:eastAsia="Calibri" w:ascii="Times New Roman" w:hAnsi="Times New Roman" w:eastAsiaTheme="minorHAnsi"/>
          <w:color w:val="auto"/>
          <w:sz w:val="24"/>
          <w:szCs w:val="24"/>
          <w:lang w:eastAsia="en-US"/>
        </w:rPr>
        <w:t>3</w:t>
      </w:r>
    </w:p>
    <w:p>
      <w:pPr>
        <w:pStyle w:val="Normal"/>
        <w:widowControl/>
        <w:numPr>
          <w:ilvl w:val="0"/>
          <w:numId w:val="0"/>
        </w:numPr>
        <w:suppressAutoHyphens w:val="true"/>
        <w:overflowPunct w:val="true"/>
        <w:bidi w:val="0"/>
        <w:snapToGrid w:val="false"/>
        <w:spacing w:lineRule="auto" w:line="240" w:before="0" w:after="0"/>
        <w:ind w:left="4535" w:right="0" w:hanging="0"/>
        <w:jc w:val="center"/>
        <w:rPr>
          <w:rFonts w:ascii="Times New Roman" w:hAnsi="Times New Roman"/>
          <w:color w:val="auto"/>
          <w:sz w:val="24"/>
          <w:szCs w:val="24"/>
        </w:rPr>
      </w:pPr>
      <w:r>
        <w:rPr>
          <w:rFonts w:eastAsia="Calibri" w:ascii="Times New Roman" w:hAnsi="Times New Roman" w:eastAsiaTheme="minorHAnsi"/>
          <w:color w:val="auto"/>
          <w:sz w:val="22"/>
          <w:szCs w:val="22"/>
          <w:lang w:eastAsia="en-US"/>
        </w:rPr>
        <w:t>к административному регламенту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Normal"/>
        <w:widowControl/>
        <w:numPr>
          <w:ilvl w:val="0"/>
          <w:numId w:val="0"/>
        </w:numPr>
        <w:suppressAutoHyphens w:val="true"/>
        <w:overflowPunct w:val="true"/>
        <w:bidi w:val="0"/>
        <w:snapToGrid w:val="false"/>
        <w:spacing w:lineRule="auto" w:line="240" w:before="0" w:after="0"/>
        <w:ind w:left="4535" w:right="0" w:hanging="0"/>
        <w:jc w:val="center"/>
        <w:rPr>
          <w:rFonts w:eastAsia="Calibri" w:eastAsiaTheme="minorHAnsi"/>
          <w:sz w:val="22"/>
          <w:szCs w:val="22"/>
          <w:lang w:eastAsia="en-US"/>
        </w:rPr>
      </w:pPr>
      <w:r>
        <w:rPr>
          <w:rFonts w:ascii="Times New Roman" w:hAnsi="Times New Roman"/>
          <w:color w:val="auto"/>
          <w:sz w:val="24"/>
          <w:szCs w:val="24"/>
        </w:rPr>
      </w:r>
    </w:p>
    <w:p>
      <w:pPr>
        <w:pStyle w:val="Normal"/>
        <w:rPr>
          <w:rFonts w:ascii="Times New Roman" w:hAnsi="Times New Roman"/>
          <w:color w:val="auto"/>
          <w:sz w:val="22"/>
          <w:szCs w:val="22"/>
        </w:rPr>
      </w:pPr>
      <w:r>
        <w:rPr>
          <w:rFonts w:ascii="Times New Roman" w:hAnsi="Times New Roman"/>
          <w:color w:val="auto"/>
          <w:sz w:val="22"/>
          <w:szCs w:val="22"/>
        </w:rPr>
      </w:r>
    </w:p>
    <w:p>
      <w:pPr>
        <w:pStyle w:val="Normal"/>
        <w:keepNext w:val="true"/>
        <w:suppressLineNumbers/>
        <w:tabs>
          <w:tab w:val="clear" w:pos="709"/>
          <w:tab w:val="left" w:pos="7594" w:leader="none"/>
        </w:tabs>
        <w:suppressAutoHyphens w:val="true"/>
        <w:jc w:val="center"/>
        <w:rPr>
          <w:rFonts w:ascii="Times New Roman" w:hAnsi="Times New Roman"/>
          <w:color w:val="auto"/>
        </w:rPr>
      </w:pPr>
      <w:r>
        <w:rPr>
          <w:rFonts w:ascii="Times New Roman" w:hAnsi="Times New Roman"/>
          <w:color w:val="auto"/>
          <w:sz w:val="22"/>
          <w:szCs w:val="22"/>
        </w:rPr>
        <w:t>ОБРАЗЕЦ</w:t>
      </w:r>
    </w:p>
    <w:p>
      <w:pPr>
        <w:pStyle w:val="Normal"/>
        <w:keepNext w:val="true"/>
        <w:suppressLineNumbers/>
        <w:suppressAutoHyphens w:val="true"/>
        <w:jc w:val="center"/>
        <w:rPr>
          <w:rFonts w:ascii="Times New Roman" w:hAnsi="Times New Roman"/>
          <w:color w:val="auto"/>
        </w:rPr>
      </w:pPr>
      <w:r>
        <w:rPr>
          <w:rFonts w:eastAsia="Arial" w:ascii="Times New Roman" w:hAnsi="Times New Roman"/>
          <w:caps/>
          <w:color w:val="auto"/>
          <w:sz w:val="22"/>
          <w:szCs w:val="22"/>
        </w:rPr>
        <w:t>Заявления о продлении срока действия разрешения на строительство</w:t>
      </w:r>
    </w:p>
    <w:p>
      <w:pPr>
        <w:pStyle w:val="Normal"/>
        <w:keepNext w:val="true"/>
        <w:suppressLineNumbers/>
        <w:suppressAutoHyphens w:val="true"/>
        <w:rPr>
          <w:rFonts w:ascii="Times New Roman" w:hAnsi="Times New Roman" w:eastAsia="Arial"/>
          <w:color w:val="auto"/>
          <w:sz w:val="22"/>
          <w:szCs w:val="22"/>
        </w:rPr>
      </w:pPr>
      <w:r>
        <w:rPr>
          <w:rFonts w:eastAsia="Arial" w:ascii="Times New Roman" w:hAnsi="Times New Roman"/>
          <w:color w:val="auto"/>
          <w:sz w:val="22"/>
          <w:szCs w:val="22"/>
        </w:rPr>
      </w:r>
    </w:p>
    <w:p>
      <w:pPr>
        <w:pStyle w:val="Normal"/>
        <w:keepNext w:val="true"/>
        <w:suppressLineNumbers/>
        <w:suppressAutoHyphens w:val="true"/>
        <w:rPr>
          <w:rFonts w:ascii="Times New Roman" w:hAnsi="Times New Roman"/>
          <w:color w:val="auto"/>
        </w:rPr>
      </w:pPr>
      <w:r>
        <w:rPr>
          <w:rFonts w:eastAsia="Arial" w:ascii="Times New Roman" w:hAnsi="Times New Roman"/>
          <w:color w:val="auto"/>
          <w:sz w:val="22"/>
          <w:szCs w:val="22"/>
        </w:rPr>
        <w:t>от "____" ______________________ 201___ года</w:t>
      </w:r>
    </w:p>
    <w:p>
      <w:pPr>
        <w:pStyle w:val="Normal"/>
        <w:keepNext w:val="true"/>
        <w:suppressLineNumbers/>
        <w:suppressAutoHyphens w:val="true"/>
        <w:rPr>
          <w:rFonts w:ascii="Times New Roman" w:hAnsi="Times New Roman" w:eastAsia="Arial"/>
          <w:color w:val="auto"/>
          <w:sz w:val="22"/>
          <w:szCs w:val="22"/>
        </w:rPr>
      </w:pPr>
      <w:r>
        <w:rPr>
          <w:rFonts w:eastAsia="Arial" w:ascii="Times New Roman" w:hAnsi="Times New Roman"/>
          <w:color w:val="auto"/>
          <w:sz w:val="22"/>
          <w:szCs w:val="22"/>
        </w:rPr>
      </w:r>
    </w:p>
    <w:p>
      <w:pPr>
        <w:pStyle w:val="ConsPlusNonformat"/>
        <w:jc w:val="both"/>
        <w:rPr>
          <w:rFonts w:ascii="Times New Roman" w:hAnsi="Times New Roman"/>
          <w:color w:val="auto"/>
        </w:rPr>
      </w:pPr>
      <w:r>
        <w:rPr>
          <w:rFonts w:cs="Times New Roman" w:ascii="Times New Roman" w:hAnsi="Times New Roman"/>
          <w:color w:val="auto"/>
          <w:sz w:val="22"/>
          <w:szCs w:val="22"/>
        </w:rPr>
        <w:t>Прошу продлить срок действия разрешения на строительство, реконструкцию</w:t>
      </w:r>
    </w:p>
    <w:p>
      <w:pPr>
        <w:pStyle w:val="ConsPlusNonformat"/>
        <w:jc w:val="both"/>
        <w:rPr>
          <w:rFonts w:ascii="Times New Roman" w:hAnsi="Times New Roman"/>
          <w:color w:val="auto"/>
        </w:rPr>
      </w:pPr>
      <w:r>
        <w:rPr>
          <w:rFonts w:cs="Times New Roman" w:ascii="Times New Roman" w:hAnsi="Times New Roman"/>
          <w:color w:val="auto"/>
          <w:sz w:val="22"/>
          <w:szCs w:val="22"/>
        </w:rPr>
        <w:t>N ____________ от __________ объекта капитального строительства</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(наименование объекта капитального строительства в соответствии с проектной документацией, схемой планировочной организации земельного участка в целях строительства или реконструкции объекта индивидуального жилищного строительства; описание этапа строительства, реконструкции, если необходимо разрешение на этап строительства, реконструкции) расположенного на земельном участке с местоположением:</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(кадастровый номер земельного участка, полный адрес объекта капитального строительства или строительный адрес, реквизиты документа, удостоверяющего право застройщика на земельный участок) на _________ месяца(ев).</w:t>
      </w:r>
    </w:p>
    <w:p>
      <w:pPr>
        <w:pStyle w:val="ConsPlusNonformat"/>
        <w:jc w:val="both"/>
        <w:rPr>
          <w:rFonts w:ascii="Times New Roman" w:hAnsi="Times New Roman"/>
          <w:color w:val="auto"/>
        </w:rPr>
      </w:pPr>
      <w:r>
        <w:rPr>
          <w:rFonts w:cs="Times New Roman" w:ascii="Times New Roman" w:hAnsi="Times New Roman"/>
          <w:color w:val="auto"/>
          <w:sz w:val="22"/>
          <w:szCs w:val="22"/>
        </w:rPr>
        <w:t>Для удостоверения предоставления муниципальной услуги прошу выдать результат муниципальной услуги:</w:t>
      </w:r>
    </w:p>
    <w:tbl>
      <w:tblPr>
        <w:tblW w:w="5000" w:type="pct"/>
        <w:jc w:val="left"/>
        <w:tblInd w:w="62" w:type="dxa"/>
        <w:tblCellMar>
          <w:top w:w="102" w:type="dxa"/>
          <w:left w:w="62" w:type="dxa"/>
          <w:bottom w:w="102" w:type="dxa"/>
          <w:right w:w="62" w:type="dxa"/>
        </w:tblCellMar>
        <w:tblLook w:firstRow="0" w:noVBand="0" w:lastRow="0" w:firstColumn="0" w:lastColumn="0" w:noHBand="0" w:val="0000"/>
      </w:tblPr>
      <w:tblGrid>
        <w:gridCol w:w="8031"/>
        <w:gridCol w:w="1606"/>
      </w:tblGrid>
      <w:tr>
        <w:trPr/>
        <w:tc>
          <w:tcPr>
            <w:tcW w:w="8031"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Лично</w:t>
            </w:r>
          </w:p>
        </w:tc>
        <w:tc>
          <w:tcPr>
            <w:tcW w:w="1606"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8031"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Через МФЦ</w:t>
            </w:r>
          </w:p>
        </w:tc>
        <w:tc>
          <w:tcPr>
            <w:tcW w:w="1606"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8031"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Почтой заказным письмом с уведомлением по почтовому адресу, указанному заявителем для этой цели в заявлении</w:t>
            </w:r>
          </w:p>
        </w:tc>
        <w:tc>
          <w:tcPr>
            <w:tcW w:w="1606"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r>
        <w:trPr/>
        <w:tc>
          <w:tcPr>
            <w:tcW w:w="8031"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both"/>
              <w:rPr>
                <w:rFonts w:ascii="Times New Roman" w:hAnsi="Times New Roman"/>
                <w:color w:val="auto"/>
              </w:rPr>
            </w:pPr>
            <w:r>
              <w:rPr>
                <w:rFonts w:ascii="Times New Roman" w:hAnsi="Times New Roman"/>
                <w:color w:val="auto"/>
                <w:sz w:val="22"/>
                <w:szCs w:val="22"/>
              </w:rPr>
              <w:t>Посредством Единого или Регионального портала (с момента реализации технической возможности)</w:t>
            </w:r>
          </w:p>
        </w:tc>
        <w:tc>
          <w:tcPr>
            <w:tcW w:w="1606" w:type="dxa"/>
            <w:tcBorders>
              <w:top w:val="single" w:sz="4" w:space="0" w:color="000000"/>
              <w:left w:val="single" w:sz="4" w:space="0" w:color="000000"/>
              <w:bottom w:val="single" w:sz="4" w:space="0" w:color="000000"/>
              <w:right w:val="single" w:sz="4" w:space="0" w:color="000000"/>
            </w:tcBorders>
          </w:tcPr>
          <w:p>
            <w:pPr>
              <w:pStyle w:val="ConsPlusNormal"/>
              <w:jc w:val="both"/>
              <w:rPr>
                <w:rFonts w:ascii="Times New Roman" w:hAnsi="Times New Roman"/>
                <w:color w:val="auto"/>
                <w:sz w:val="22"/>
                <w:szCs w:val="22"/>
              </w:rPr>
            </w:pPr>
            <w:r>
              <w:rPr>
                <w:rFonts w:ascii="Times New Roman" w:hAnsi="Times New Roman"/>
                <w:color w:val="auto"/>
                <w:sz w:val="22"/>
                <w:szCs w:val="22"/>
              </w:rPr>
            </w:r>
          </w:p>
        </w:tc>
      </w:tr>
    </w:tbl>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(указать способ предоставления муниципальной услуги в правом столбце)</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color w:val="auto"/>
        </w:rPr>
      </w:pPr>
      <w:r>
        <w:rPr>
          <w:rFonts w:cs="Times New Roman" w:ascii="Times New Roman" w:hAnsi="Times New Roman"/>
          <w:color w:val="auto"/>
          <w:sz w:val="22"/>
          <w:szCs w:val="22"/>
        </w:rPr>
        <w:t xml:space="preserve">В соответствии с Федеральным </w:t>
      </w:r>
      <w:r>
        <w:rPr>
          <w:rFonts w:cs="Times New Roman" w:ascii="Times New Roman" w:hAnsi="Times New Roman"/>
          <w:color w:val="auto"/>
          <w:sz w:val="22"/>
          <w:szCs w:val="22"/>
        </w:rPr>
        <w:t>законом</w:t>
      </w:r>
      <w:r>
        <w:rPr>
          <w:rFonts w:cs="Times New Roman" w:ascii="Times New Roman" w:hAnsi="Times New Roman"/>
          <w:color w:val="auto"/>
          <w:sz w:val="22"/>
          <w:szCs w:val="22"/>
        </w:rPr>
        <w:t xml:space="preserve"> от 27.07.2006 N 152-ФЗ «О персональных данных» я (мы), 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добровольно выражаю(ем) согласие на обработку своих персональных данных, включая сбор, запись, систематизацию, накопление, хранение, уточнение (обновление, использование), извлечение, использование, передачу (распространение, предоставление, доступ), обезличивание, блокирование, удаление, уничтожение персональных данных, в целях оказания муниципальной услуги.</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rFonts w:ascii="Times New Roman" w:hAnsi="Times New Roman"/>
          <w:color w:val="auto"/>
        </w:rPr>
      </w:pPr>
      <w:r>
        <w:rPr>
          <w:rFonts w:cs="Times New Roman" w:ascii="Times New Roman" w:hAnsi="Times New Roman"/>
          <w:color w:val="auto"/>
          <w:sz w:val="22"/>
          <w:szCs w:val="22"/>
        </w:rPr>
        <w:t>Застройщик:</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__________________ </w:t>
        <w:tab/>
        <w:t xml:space="preserve">______________ </w:t>
        <w:tab/>
        <w:t>_________________</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 xml:space="preserve">(должность) </w:t>
        <w:tab/>
        <w:t xml:space="preserve">(подпись) </w:t>
        <w:tab/>
        <w:t>(Ф.И.О.)</w:t>
      </w:r>
    </w:p>
    <w:p>
      <w:pPr>
        <w:pStyle w:val="ConsPlusNormal"/>
        <w:ind w:firstLine="540"/>
        <w:jc w:val="both"/>
        <w:rPr>
          <w:rFonts w:ascii="Times New Roman" w:hAnsi="Times New Roman"/>
          <w:color w:val="auto"/>
          <w:sz w:val="22"/>
          <w:szCs w:val="22"/>
        </w:rPr>
      </w:pPr>
      <w:r>
        <w:rPr>
          <w:rFonts w:ascii="Times New Roman" w:hAnsi="Times New Roman"/>
          <w:color w:val="auto"/>
          <w:sz w:val="22"/>
          <w:szCs w:val="22"/>
        </w:rPr>
      </w:r>
      <w:r>
        <w:br w:type="page"/>
      </w:r>
    </w:p>
    <w:p>
      <w:pPr>
        <w:pStyle w:val="Normal"/>
        <w:widowControl/>
        <w:numPr>
          <w:ilvl w:val="0"/>
          <w:numId w:val="0"/>
        </w:numPr>
        <w:suppressAutoHyphens w:val="true"/>
        <w:overflowPunct w:val="true"/>
        <w:bidi w:val="0"/>
        <w:spacing w:lineRule="auto" w:line="240" w:before="0" w:after="0"/>
        <w:ind w:left="4535" w:right="0" w:hanging="0"/>
        <w:jc w:val="center"/>
        <w:outlineLvl w:val="0"/>
        <w:rPr>
          <w:rFonts w:ascii="Times New Roman" w:hAnsi="Times New Roman"/>
          <w:color w:val="auto"/>
          <w:sz w:val="24"/>
          <w:szCs w:val="24"/>
        </w:rPr>
      </w:pPr>
      <w:r>
        <w:rPr>
          <w:rFonts w:eastAsia="Calibri" w:ascii="Times New Roman" w:hAnsi="Times New Roman" w:eastAsiaTheme="minorHAnsi"/>
          <w:color w:val="auto"/>
          <w:sz w:val="24"/>
          <w:szCs w:val="24"/>
          <w:lang w:eastAsia="en-US"/>
        </w:rPr>
        <w:t xml:space="preserve">Приложение N </w:t>
      </w:r>
      <w:r>
        <w:rPr>
          <w:rFonts w:eastAsia="Calibri" w:ascii="Times New Roman" w:hAnsi="Times New Roman" w:eastAsiaTheme="minorHAnsi"/>
          <w:color w:val="auto"/>
          <w:sz w:val="24"/>
          <w:szCs w:val="24"/>
          <w:lang w:eastAsia="en-US"/>
        </w:rPr>
        <w:t>4</w:t>
      </w:r>
    </w:p>
    <w:p>
      <w:pPr>
        <w:pStyle w:val="Normal"/>
        <w:widowControl/>
        <w:numPr>
          <w:ilvl w:val="0"/>
          <w:numId w:val="0"/>
        </w:numPr>
        <w:suppressAutoHyphens w:val="true"/>
        <w:overflowPunct w:val="true"/>
        <w:bidi w:val="0"/>
        <w:snapToGrid w:val="false"/>
        <w:spacing w:lineRule="auto" w:line="240" w:before="0" w:after="0"/>
        <w:ind w:left="4535" w:right="0" w:hanging="0"/>
        <w:jc w:val="center"/>
        <w:rPr>
          <w:rFonts w:ascii="Times New Roman" w:hAnsi="Times New Roman"/>
          <w:color w:val="auto"/>
          <w:sz w:val="24"/>
          <w:szCs w:val="24"/>
        </w:rPr>
      </w:pPr>
      <w:r>
        <w:rPr>
          <w:rFonts w:eastAsia="Calibri" w:ascii="Times New Roman" w:hAnsi="Times New Roman" w:eastAsiaTheme="minorHAnsi"/>
          <w:color w:val="auto"/>
          <w:sz w:val="22"/>
          <w:szCs w:val="22"/>
          <w:lang w:eastAsia="en-US"/>
        </w:rPr>
        <w:t>к административному регламенту администрации Шарангского муниципального района по предоставлению муниципальной услуги «Подготовка и выдача разрешений на строительство, реконструкцию объектов капитального строительства на территории Шарангского муниципального района Нижегородской области»</w:t>
      </w:r>
    </w:p>
    <w:p>
      <w:pPr>
        <w:pStyle w:val="Normal"/>
        <w:ind w:right="423" w:hanging="0"/>
        <w:jc w:val="right"/>
        <w:rPr>
          <w:rFonts w:ascii="Times New Roman" w:hAnsi="Times New Roman" w:eastAsia="Calibri" w:eastAsiaTheme="minorHAnsi"/>
          <w:color w:val="auto"/>
          <w:sz w:val="22"/>
          <w:szCs w:val="22"/>
          <w:lang w:eastAsia="en-US"/>
        </w:rPr>
      </w:pPr>
      <w:r>
        <w:rPr>
          <w:rFonts w:eastAsia="Calibri" w:eastAsiaTheme="minorHAnsi" w:ascii="Times New Roman" w:hAnsi="Times New Roman"/>
          <w:color w:val="auto"/>
          <w:sz w:val="22"/>
          <w:szCs w:val="22"/>
          <w:lang w:eastAsia="en-US"/>
        </w:rPr>
      </w:r>
    </w:p>
    <w:p>
      <w:pPr>
        <w:pStyle w:val="Normal"/>
        <w:keepNext w:val="true"/>
        <w:suppressLineNumbers/>
        <w:tabs>
          <w:tab w:val="clear" w:pos="709"/>
          <w:tab w:val="left" w:pos="7594" w:leader="none"/>
        </w:tabs>
        <w:suppressAutoHyphens w:val="true"/>
        <w:jc w:val="center"/>
        <w:rPr>
          <w:rFonts w:ascii="Times New Roman" w:hAnsi="Times New Roman"/>
          <w:color w:val="auto"/>
        </w:rPr>
      </w:pPr>
      <w:r>
        <w:rPr>
          <w:rFonts w:ascii="Times New Roman" w:hAnsi="Times New Roman"/>
          <w:color w:val="auto"/>
          <w:sz w:val="22"/>
          <w:szCs w:val="22"/>
        </w:rPr>
        <w:t>ОБРАЗЕЦ</w:t>
      </w:r>
    </w:p>
    <w:p>
      <w:pPr>
        <w:pStyle w:val="Normal"/>
        <w:keepNext w:val="true"/>
        <w:suppressLineNumbers/>
        <w:suppressAutoHyphens w:val="true"/>
        <w:jc w:val="center"/>
        <w:rPr>
          <w:rFonts w:ascii="Times New Roman" w:hAnsi="Times New Roman"/>
          <w:color w:val="auto"/>
        </w:rPr>
      </w:pPr>
      <w:r>
        <w:rPr>
          <w:rFonts w:eastAsia="Arial" w:ascii="Times New Roman" w:hAnsi="Times New Roman"/>
          <w:caps/>
          <w:color w:val="auto"/>
          <w:sz w:val="22"/>
          <w:szCs w:val="22"/>
        </w:rPr>
        <w:t>Заявления О ВНЕСЕНИИ ИЗМЕНЕНИЙ В РАЗРЕШЕНИЕ на строительство</w:t>
      </w:r>
    </w:p>
    <w:p>
      <w:pPr>
        <w:pStyle w:val="ConsPlusNonformat"/>
        <w:jc w:val="both"/>
        <w:rPr>
          <w:rFonts w:ascii="Times New Roman" w:hAnsi="Times New Roman"/>
          <w:color w:val="auto"/>
        </w:rPr>
      </w:pPr>
      <w:r>
        <w:rPr>
          <w:rFonts w:ascii="Times New Roman" w:hAnsi="Times New Roman"/>
          <w:color w:val="auto"/>
        </w:rPr>
      </w:r>
    </w:p>
    <w:p>
      <w:pPr>
        <w:pStyle w:val="ConsPlusNonformat"/>
        <w:jc w:val="both"/>
        <w:rPr>
          <w:rFonts w:ascii="Times New Roman" w:hAnsi="Times New Roman"/>
          <w:color w:val="auto"/>
        </w:rPr>
      </w:pPr>
      <w:r>
        <w:rPr>
          <w:rFonts w:cs="Times New Roman" w:ascii="Times New Roman" w:hAnsi="Times New Roman"/>
          <w:color w:val="auto"/>
          <w:sz w:val="22"/>
          <w:szCs w:val="22"/>
        </w:rPr>
        <w:t>Прошу внести изменения в разрешение на строительство, реконструкцию</w:t>
      </w:r>
    </w:p>
    <w:p>
      <w:pPr>
        <w:pStyle w:val="ConsPlusNonformat"/>
        <w:jc w:val="both"/>
        <w:rPr>
          <w:rFonts w:ascii="Times New Roman" w:hAnsi="Times New Roman"/>
          <w:color w:val="auto"/>
        </w:rPr>
      </w:pPr>
      <w:r>
        <w:rPr>
          <w:rFonts w:cs="Times New Roman" w:ascii="Times New Roman" w:hAnsi="Times New Roman"/>
          <w:color w:val="auto"/>
          <w:sz w:val="22"/>
          <w:szCs w:val="22"/>
        </w:rPr>
        <w:t>N _______________ от ___________________ объекта капитального строительства</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(наименование объекта капитального строительства в соответствии с проектной документацией, схемой планировочной организации земельного участка в целях строительства или реконструкции объекта индивидуального жилищного строительства; описание этапа строительства, реконструкции, если необходимо разрешение на этап строительства, реконструкции) расположенного на земельном участке с местоположением:______________________________________________________________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(кадастровый номер земельного участка, полный адрес объекта капитального строительства или строительный адрес, реквизиты документа, удостоверяющего право застройщика на земельный участок) в связи с: 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(причина внесения изменений в разрешение на строительство) Для удостоверения предоставления муниципальной услуги прошу выдать результат муниципальной услуги:</w:t>
      </w:r>
    </w:p>
    <w:p>
      <w:pPr>
        <w:pStyle w:val="ConsPlusNormal"/>
        <w:ind w:firstLine="540"/>
        <w:jc w:val="both"/>
        <w:rPr>
          <w:rFonts w:ascii="Times New Roman" w:hAnsi="Times New Roman"/>
          <w:color w:val="auto"/>
          <w:sz w:val="22"/>
          <w:szCs w:val="22"/>
        </w:rPr>
      </w:pPr>
      <w:r>
        <w:rPr>
          <w:rFonts w:ascii="Times New Roman" w:hAnsi="Times New Roman"/>
          <w:color w:val="auto"/>
          <w:sz w:val="22"/>
          <w:szCs w:val="22"/>
        </w:rPr>
      </w:r>
    </w:p>
    <w:tbl>
      <w:tblPr>
        <w:tblW w:w="9645" w:type="dxa"/>
        <w:jc w:val="left"/>
        <w:tblInd w:w="62" w:type="dxa"/>
        <w:tblCellMar>
          <w:top w:w="102" w:type="dxa"/>
          <w:left w:w="62" w:type="dxa"/>
          <w:bottom w:w="102" w:type="dxa"/>
          <w:right w:w="62" w:type="dxa"/>
        </w:tblCellMar>
        <w:tblLook w:firstRow="0" w:noVBand="0" w:lastRow="0" w:firstColumn="0" w:lastColumn="0" w:noHBand="0" w:val="0000"/>
      </w:tblPr>
      <w:tblGrid>
        <w:gridCol w:w="7650"/>
        <w:gridCol w:w="1995"/>
      </w:tblGrid>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left"/>
              <w:rPr>
                <w:rFonts w:ascii="Times New Roman" w:hAnsi="Times New Roman"/>
                <w:color w:val="auto"/>
              </w:rPr>
            </w:pPr>
            <w:r>
              <w:rPr>
                <w:rFonts w:ascii="Times New Roman" w:hAnsi="Times New Roman"/>
                <w:color w:val="auto"/>
                <w:sz w:val="22"/>
                <w:szCs w:val="22"/>
              </w:rPr>
              <w:t>Лично</w:t>
            </w:r>
          </w:p>
        </w:tc>
        <w:tc>
          <w:tcPr>
            <w:tcW w:w="1995" w:type="dxa"/>
            <w:tcBorders>
              <w:top w:val="single" w:sz="4" w:space="0" w:color="000000"/>
              <w:left w:val="single" w:sz="4" w:space="0" w:color="000000"/>
              <w:bottom w:val="single" w:sz="4" w:space="0" w:color="000000"/>
              <w:right w:val="single" w:sz="4" w:space="0" w:color="000000"/>
            </w:tcBorders>
          </w:tcPr>
          <w:p>
            <w:pPr>
              <w:pStyle w:val="ConsPlusNormal"/>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left"/>
              <w:rPr>
                <w:rFonts w:ascii="Times New Roman" w:hAnsi="Times New Roman"/>
                <w:color w:val="auto"/>
              </w:rPr>
            </w:pPr>
            <w:r>
              <w:rPr>
                <w:rFonts w:ascii="Times New Roman" w:hAnsi="Times New Roman"/>
                <w:color w:val="auto"/>
                <w:sz w:val="22"/>
                <w:szCs w:val="22"/>
              </w:rPr>
              <w:t>Через МФЦ</w:t>
            </w:r>
          </w:p>
        </w:tc>
        <w:tc>
          <w:tcPr>
            <w:tcW w:w="1995" w:type="dxa"/>
            <w:tcBorders>
              <w:top w:val="single" w:sz="4" w:space="0" w:color="000000"/>
              <w:left w:val="single" w:sz="4" w:space="0" w:color="000000"/>
              <w:bottom w:val="single" w:sz="4" w:space="0" w:color="000000"/>
              <w:right w:val="single" w:sz="4" w:space="0" w:color="000000"/>
            </w:tcBorders>
          </w:tcPr>
          <w:p>
            <w:pPr>
              <w:pStyle w:val="ConsPlusNormal"/>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left"/>
              <w:rPr>
                <w:rFonts w:ascii="Times New Roman" w:hAnsi="Times New Roman"/>
                <w:color w:val="auto"/>
              </w:rPr>
            </w:pPr>
            <w:r>
              <w:rPr>
                <w:rFonts w:ascii="Times New Roman" w:hAnsi="Times New Roman"/>
                <w:color w:val="auto"/>
                <w:sz w:val="22"/>
                <w:szCs w:val="22"/>
              </w:rPr>
              <w:t>Почтой заказным письмом с уведомлением по почтовому адресу, указанному заявителем для этой цели в заявлении</w:t>
            </w:r>
          </w:p>
        </w:tc>
        <w:tc>
          <w:tcPr>
            <w:tcW w:w="1995" w:type="dxa"/>
            <w:tcBorders>
              <w:top w:val="single" w:sz="4" w:space="0" w:color="000000"/>
              <w:left w:val="single" w:sz="4" w:space="0" w:color="000000"/>
              <w:bottom w:val="single" w:sz="4" w:space="0" w:color="000000"/>
              <w:right w:val="single" w:sz="4" w:space="0" w:color="000000"/>
            </w:tcBorders>
          </w:tcPr>
          <w:p>
            <w:pPr>
              <w:pStyle w:val="ConsPlusNormal"/>
              <w:rPr>
                <w:rFonts w:ascii="Times New Roman" w:hAnsi="Times New Roman"/>
                <w:color w:val="auto"/>
                <w:sz w:val="22"/>
                <w:szCs w:val="22"/>
              </w:rPr>
            </w:pPr>
            <w:r>
              <w:rPr>
                <w:rFonts w:ascii="Times New Roman" w:hAnsi="Times New Roman"/>
                <w:color w:val="auto"/>
                <w:sz w:val="22"/>
                <w:szCs w:val="22"/>
              </w:rPr>
            </w:r>
          </w:p>
        </w:tc>
      </w:tr>
      <w:tr>
        <w:trPr/>
        <w:tc>
          <w:tcPr>
            <w:tcW w:w="7650" w:type="dxa"/>
            <w:tcBorders>
              <w:top w:val="single" w:sz="4" w:space="0" w:color="000000"/>
              <w:left w:val="single" w:sz="4" w:space="0" w:color="000000"/>
              <w:bottom w:val="single" w:sz="4" w:space="0" w:color="000000"/>
              <w:right w:val="single" w:sz="4" w:space="0" w:color="000000"/>
            </w:tcBorders>
          </w:tcPr>
          <w:p>
            <w:pPr>
              <w:pStyle w:val="ConsPlusNormal"/>
              <w:widowControl w:val="false"/>
              <w:suppressAutoHyphens w:val="true"/>
              <w:overflowPunct w:val="true"/>
              <w:bidi w:val="0"/>
              <w:spacing w:before="0" w:after="0"/>
              <w:ind w:left="0" w:right="0" w:hanging="0"/>
              <w:jc w:val="left"/>
              <w:rPr>
                <w:rFonts w:ascii="Times New Roman" w:hAnsi="Times New Roman"/>
                <w:color w:val="auto"/>
              </w:rPr>
            </w:pPr>
            <w:r>
              <w:rPr>
                <w:rFonts w:ascii="Times New Roman" w:hAnsi="Times New Roman"/>
                <w:color w:val="auto"/>
                <w:sz w:val="22"/>
                <w:szCs w:val="22"/>
              </w:rPr>
              <w:t>Посредством Единого или Регионального портала (с момента реализации технической возможности)</w:t>
            </w:r>
          </w:p>
        </w:tc>
        <w:tc>
          <w:tcPr>
            <w:tcW w:w="1995" w:type="dxa"/>
            <w:tcBorders>
              <w:top w:val="single" w:sz="4" w:space="0" w:color="000000"/>
              <w:left w:val="single" w:sz="4" w:space="0" w:color="000000"/>
              <w:bottom w:val="single" w:sz="4" w:space="0" w:color="000000"/>
              <w:right w:val="single" w:sz="4" w:space="0" w:color="000000"/>
            </w:tcBorders>
          </w:tcPr>
          <w:p>
            <w:pPr>
              <w:pStyle w:val="ConsPlusNormal"/>
              <w:rPr>
                <w:rFonts w:ascii="Times New Roman" w:hAnsi="Times New Roman"/>
                <w:color w:val="auto"/>
                <w:sz w:val="22"/>
                <w:szCs w:val="22"/>
              </w:rPr>
            </w:pPr>
            <w:r>
              <w:rPr>
                <w:rFonts w:ascii="Times New Roman" w:hAnsi="Times New Roman"/>
                <w:color w:val="auto"/>
                <w:sz w:val="22"/>
                <w:szCs w:val="22"/>
              </w:rPr>
            </w:r>
          </w:p>
        </w:tc>
      </w:tr>
    </w:tbl>
    <w:p>
      <w:pPr>
        <w:pStyle w:val="ConsPlusNonformat"/>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(указать способ предоставления муниципальной услуги в правом столбце)</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color w:val="auto"/>
        </w:rPr>
      </w:pPr>
      <w:r>
        <w:rPr>
          <w:rFonts w:cs="Times New Roman" w:ascii="Times New Roman" w:hAnsi="Times New Roman"/>
          <w:color w:val="auto"/>
          <w:sz w:val="22"/>
          <w:szCs w:val="22"/>
        </w:rPr>
        <w:t xml:space="preserve">В соответствии с Федеральным </w:t>
      </w:r>
      <w:r>
        <w:rPr>
          <w:rFonts w:cs="Times New Roman" w:ascii="Times New Roman" w:hAnsi="Times New Roman"/>
          <w:color w:val="auto"/>
          <w:sz w:val="22"/>
          <w:szCs w:val="22"/>
        </w:rPr>
        <w:t>законом</w:t>
      </w:r>
      <w:r>
        <w:rPr>
          <w:rFonts w:cs="Times New Roman" w:ascii="Times New Roman" w:hAnsi="Times New Roman"/>
          <w:color w:val="auto"/>
          <w:sz w:val="22"/>
          <w:szCs w:val="22"/>
        </w:rPr>
        <w:t xml:space="preserve"> от 27.07.2006 N 152-ФЗ "О персональных данных" я (мы), 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_______________________________________________________________________________________</w:t>
      </w:r>
    </w:p>
    <w:p>
      <w:pPr>
        <w:pStyle w:val="ConsPlusNonformat"/>
        <w:jc w:val="both"/>
        <w:rPr>
          <w:rFonts w:ascii="Times New Roman" w:hAnsi="Times New Roman"/>
          <w:color w:val="auto"/>
        </w:rPr>
      </w:pPr>
      <w:r>
        <w:rPr>
          <w:rFonts w:cs="Times New Roman" w:ascii="Times New Roman" w:hAnsi="Times New Roman"/>
          <w:color w:val="auto"/>
          <w:sz w:val="22"/>
          <w:szCs w:val="22"/>
        </w:rPr>
        <w:t>добровольно выражаю(ем) согласие на обработку своих персональных данных, включая сбор, запись, систематизацию, накопление, хранение, уточнение (обновление, использование), извлечение, использование, передачу (распространение, предоставление, доступ), обезличивание, блокирование, удаление, уничтожение персональных данных, в целях оказания муниципальной услуги.</w:t>
      </w:r>
    </w:p>
    <w:p>
      <w:pPr>
        <w:pStyle w:val="ConsPlusNonformat"/>
        <w:jc w:val="both"/>
        <w:rPr>
          <w:rFonts w:ascii="Times New Roman" w:hAnsi="Times New Roman" w:cs="Times New Roman"/>
          <w:color w:val="auto"/>
          <w:sz w:val="22"/>
          <w:szCs w:val="22"/>
        </w:rPr>
      </w:pPr>
      <w:r>
        <w:rPr>
          <w:rFonts w:cs="Times New Roman" w:ascii="Times New Roman" w:hAnsi="Times New Roman"/>
          <w:color w:val="auto"/>
          <w:sz w:val="22"/>
          <w:szCs w:val="22"/>
        </w:rPr>
      </w:r>
    </w:p>
    <w:p>
      <w:pPr>
        <w:pStyle w:val="ConsPlusNonformat"/>
        <w:jc w:val="both"/>
        <w:rPr>
          <w:rFonts w:ascii="Times New Roman" w:hAnsi="Times New Roman"/>
          <w:color w:val="auto"/>
        </w:rPr>
      </w:pPr>
      <w:r>
        <w:rPr>
          <w:rFonts w:cs="Times New Roman" w:ascii="Times New Roman" w:hAnsi="Times New Roman"/>
          <w:color w:val="auto"/>
          <w:sz w:val="22"/>
          <w:szCs w:val="22"/>
        </w:rPr>
        <w:t>Застройщик:</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__________________ </w:t>
        <w:tab/>
        <w:t xml:space="preserve">______________ </w:t>
        <w:tab/>
        <w:t>_________________</w:t>
      </w:r>
    </w:p>
    <w:p>
      <w:pPr>
        <w:pStyle w:val="ConsPlusNonformat"/>
        <w:tabs>
          <w:tab w:val="clear" w:pos="709"/>
          <w:tab w:val="left" w:pos="3405" w:leader="none"/>
          <w:tab w:val="left" w:pos="6300" w:leader="none"/>
        </w:tabs>
        <w:jc w:val="center"/>
        <w:rPr>
          <w:rFonts w:ascii="Times New Roman" w:hAnsi="Times New Roman"/>
          <w:color w:val="auto"/>
        </w:rPr>
      </w:pPr>
      <w:r>
        <w:rPr>
          <w:rFonts w:cs="Times New Roman" w:ascii="Times New Roman" w:hAnsi="Times New Roman"/>
          <w:color w:val="auto"/>
          <w:sz w:val="22"/>
          <w:szCs w:val="22"/>
        </w:rPr>
        <w:t xml:space="preserve"> </w:t>
      </w:r>
      <w:r>
        <w:rPr>
          <w:rFonts w:cs="Times New Roman" w:ascii="Times New Roman" w:hAnsi="Times New Roman"/>
          <w:color w:val="auto"/>
          <w:sz w:val="22"/>
          <w:szCs w:val="22"/>
        </w:rPr>
        <w:t xml:space="preserve">(должность) </w:t>
        <w:tab/>
        <w:t xml:space="preserve">(подпись) </w:t>
        <w:tab/>
        <w:t>(Ф.И.О.)</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27</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3">
    <w:lvl w:ilvl="0">
      <w:start w:val="1"/>
      <w:numFmt w:val="bullet"/>
      <w:lvlText w:val=""/>
      <w:lvlJc w:val="left"/>
      <w:pPr>
        <w:ind w:left="1260" w:hanging="360"/>
      </w:pPr>
      <w:rPr>
        <w:rFonts w:ascii="Symbol" w:hAnsi="Symbol" w:cs="Symbol" w:hint="default"/>
      </w:rPr>
    </w:lvl>
    <w:lvl w:ilvl="1">
      <w:start w:val="1"/>
      <w:numFmt w:val="bullet"/>
      <w:lvlText w:val="o"/>
      <w:lvlJc w:val="left"/>
      <w:pPr>
        <w:ind w:left="1980" w:hanging="360"/>
      </w:pPr>
      <w:rPr>
        <w:rFonts w:ascii="Courier New" w:hAnsi="Courier New" w:cs="Courier New" w:hint="default"/>
        <w:rFonts w:cs="Courier New"/>
      </w:rPr>
    </w:lvl>
    <w:lvl w:ilvl="2">
      <w:start w:val="1"/>
      <w:numFmt w:val="bullet"/>
      <w:lvlText w:val=""/>
      <w:lvlJc w:val="left"/>
      <w:pPr>
        <w:ind w:left="2700" w:hanging="360"/>
      </w:pPr>
      <w:rPr>
        <w:rFonts w:ascii="Wingdings" w:hAnsi="Wingdings" w:cs="Wingdings" w:hint="default"/>
      </w:rPr>
    </w:lvl>
    <w:lvl w:ilvl="3">
      <w:start w:val="1"/>
      <w:numFmt w:val="bullet"/>
      <w:lvlText w:val=""/>
      <w:lvlJc w:val="left"/>
      <w:pPr>
        <w:ind w:left="3420" w:hanging="360"/>
      </w:pPr>
      <w:rPr>
        <w:rFonts w:ascii="Symbol" w:hAnsi="Symbol" w:cs="Symbol" w:hint="default"/>
      </w:rPr>
    </w:lvl>
    <w:lvl w:ilvl="4">
      <w:start w:val="1"/>
      <w:numFmt w:val="bullet"/>
      <w:lvlText w:val="o"/>
      <w:lvlJc w:val="left"/>
      <w:pPr>
        <w:ind w:left="4140" w:hanging="360"/>
      </w:pPr>
      <w:rPr>
        <w:rFonts w:ascii="Courier New" w:hAnsi="Courier New" w:cs="Courier New" w:hint="default"/>
        <w:rFonts w:cs="Courier New"/>
      </w:rPr>
    </w:lvl>
    <w:lvl w:ilvl="5">
      <w:start w:val="1"/>
      <w:numFmt w:val="bullet"/>
      <w:lvlText w:val=""/>
      <w:lvlJc w:val="left"/>
      <w:pPr>
        <w:ind w:left="4860" w:hanging="360"/>
      </w:pPr>
      <w:rPr>
        <w:rFonts w:ascii="Wingdings" w:hAnsi="Wingdings" w:cs="Wingdings" w:hint="default"/>
      </w:rPr>
    </w:lvl>
    <w:lvl w:ilvl="6">
      <w:start w:val="1"/>
      <w:numFmt w:val="bullet"/>
      <w:lvlText w:val=""/>
      <w:lvlJc w:val="left"/>
      <w:pPr>
        <w:ind w:left="5580" w:hanging="360"/>
      </w:pPr>
      <w:rPr>
        <w:rFonts w:ascii="Symbol" w:hAnsi="Symbol" w:cs="Symbol" w:hint="default"/>
      </w:rPr>
    </w:lvl>
    <w:lvl w:ilvl="7">
      <w:start w:val="1"/>
      <w:numFmt w:val="bullet"/>
      <w:lvlText w:val="o"/>
      <w:lvlJc w:val="left"/>
      <w:pPr>
        <w:ind w:left="6300" w:hanging="360"/>
      </w:pPr>
      <w:rPr>
        <w:rFonts w:ascii="Courier New" w:hAnsi="Courier New" w:cs="Courier New" w:hint="default"/>
        <w:rFonts w:cs="Courier New"/>
      </w:rPr>
    </w:lvl>
    <w:lvl w:ilvl="8">
      <w:start w:val="1"/>
      <w:numFmt w:val="bullet"/>
      <w:lvlText w:val=""/>
      <w:lvlJc w:val="left"/>
      <w:pPr>
        <w:ind w:left="702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Fonts w:cs="Courier New"/>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Fonts w:cs="Courier New"/>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Fonts w:cs="Courier New"/>
      </w:rPr>
    </w:lvl>
    <w:lvl w:ilvl="8">
      <w:start w:val="1"/>
      <w:numFmt w:val="bullet"/>
      <w:lvlText w:val=""/>
      <w:lvlJc w:val="left"/>
      <w:pPr>
        <w:ind w:left="7189" w:hanging="360"/>
      </w:pPr>
      <w:rPr>
        <w:rFonts w:ascii="Wingdings" w:hAnsi="Wingdings" w:cs="Wingdings" w:hint="default"/>
      </w:r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Fonts w:cs="Courier New"/>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Fonts w:cs="Courier New"/>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Fonts w:cs="Courier New"/>
      </w:rPr>
    </w:lvl>
    <w:lvl w:ilvl="8">
      <w:start w:val="1"/>
      <w:numFmt w:val="bullet"/>
      <w:lvlText w:val=""/>
      <w:lvlJc w:val="left"/>
      <w:pPr>
        <w:ind w:left="7189" w:hanging="360"/>
      </w:pPr>
      <w:rPr>
        <w:rFonts w:ascii="Wingdings" w:hAnsi="Wingdings" w:cs="Wingdings" w:hint="default"/>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9"/>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111">
    <w:name w:val="111"/>
    <w:basedOn w:val="Normal"/>
    <w:qFormat/>
    <w:pPr>
      <w:tabs>
        <w:tab w:val="clear" w:pos="709"/>
        <w:tab w:val="left" w:pos="993" w:leader="none"/>
      </w:tabs>
      <w:ind w:right="-5" w:firstLine="540"/>
      <w:jc w:val="both"/>
    </w:pPr>
    <w:rPr>
      <w:sz w:val="28"/>
    </w:rPr>
  </w:style>
  <w:style w:type="paragraph" w:styleId="ConsPlusNonformat">
    <w:name w:val="ConsPlusNonformat"/>
    <w:qFormat/>
    <w:pPr>
      <w:widowControl w:val="false"/>
      <w:bidi w:val="0"/>
      <w:spacing w:before="0" w:after="0"/>
      <w:jc w:val="left"/>
    </w:pPr>
    <w:rPr>
      <w:rFonts w:ascii="Courier New" w:hAnsi="Courier New" w:eastAsia="Times New Roman" w:cs="Courier New"/>
      <w:color w:val="auto"/>
      <w:kern w:val="2"/>
      <w:sz w:val="20"/>
      <w:szCs w:val="20"/>
      <w:lang w:eastAsia="ru-RU" w:val="ru-RU" w:bidi="hi-IN"/>
    </w:rPr>
  </w:style>
  <w:style w:type="paragraph" w:styleId="ConsPlusTitle">
    <w:name w:val="ConsPlusTitle"/>
    <w:qFormat/>
    <w:pPr>
      <w:widowControl w:val="false"/>
      <w:bidi w:val="0"/>
      <w:spacing w:before="0" w:after="0"/>
      <w:jc w:val="left"/>
    </w:pPr>
    <w:rPr>
      <w:rFonts w:eastAsia="Times New Roman" w:ascii="Liberation Serif" w:hAnsi="Liberation Serif" w:cs="Mangal"/>
      <w:b/>
      <w:color w:val="auto"/>
      <w:kern w:val="2"/>
      <w:sz w:val="20"/>
      <w:szCs w:val="20"/>
      <w:lang w:eastAsia="ru-RU" w:val="ru-RU"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Application>LibreOffice/6.4.4.2$Windows_x86 LibreOffice_project/3d775be2011f3886db32dfd395a6a6d1ca2630ff</Application>
  <Pages>27</Pages>
  <Words>9142</Words>
  <Characters>72738</Characters>
  <CharactersWithSpaces>81437</CharactersWithSpaces>
  <Paragraphs>491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2020-06-05T13:20:11Z</cp:lastPrinted>
  <dcterms:modified xsi:type="dcterms:W3CDTF">2020-06-05T13:20:36Z</dcterms:modified>
  <cp:revision>80</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