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>
          <w:rFonts w:ascii="Times New Roman" w:hAnsi="Times New Roman"/>
        </w:rPr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rFonts w:ascii="Times New Roman" w:hAnsi="Times New Roman"/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rFonts w:ascii="Times New Roman" w:hAnsi="Times New Roman"/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rFonts w:ascii="Times New Roman" w:hAnsi="Times New Roman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rFonts w:ascii="Times New Roman" w:hAnsi="Times New Roman"/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rFonts w:ascii="Times New Roman" w:hAnsi="Times New Roman"/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rFonts w:ascii="Times New Roman" w:hAnsi="Times New Roman"/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rFonts w:ascii="Times New Roman" w:hAnsi="Times New Roman"/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от </w:t>
      </w:r>
      <w:r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>.04.20</w:t>
      </w: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184</w:t>
      </w:r>
    </w:p>
    <w:p>
      <w:pPr>
        <w:pStyle w:val="Normal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 утверждении Порядка формирования перечня налоговых расходов Шарангского муниципального района Нижегородской области и оценки налоговых расходов Шарангского муниципального района Нижегородской области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соответствии со </w:t>
      </w:r>
      <w:hyperlink r:id="rId3">
        <w:r>
          <w:rPr>
            <w:rFonts w:ascii="Times New Roman" w:hAnsi="Times New Roman"/>
            <w:sz w:val="28"/>
            <w:szCs w:val="28"/>
          </w:rPr>
          <w:t>статьей 174.3</w:t>
        </w:r>
      </w:hyperlink>
      <w:r>
        <w:rPr>
          <w:rFonts w:ascii="Times New Roman" w:hAnsi="Times New Roman"/>
          <w:sz w:val="28"/>
          <w:szCs w:val="28"/>
        </w:rPr>
        <w:t xml:space="preserve"> Бюджетного кодекса Российской Федерации, </w:t>
      </w:r>
      <w:hyperlink r:id="rId4">
        <w:r>
          <w:rPr>
            <w:rFonts w:ascii="Times New Roman" w:hAnsi="Times New Roman"/>
            <w:sz w:val="28"/>
            <w:szCs w:val="28"/>
          </w:rPr>
          <w:t>постановлением</w:t>
        </w:r>
      </w:hyperlink>
      <w:r>
        <w:rPr>
          <w:rFonts w:ascii="Times New Roman" w:hAnsi="Times New Roman"/>
          <w:sz w:val="28"/>
          <w:szCs w:val="28"/>
        </w:rPr>
        <w:t xml:space="preserve"> Правительства Российской Федерации от 22 июня 2019 г. N 796 "Об общих требованиях к оценке налоговых расходов субъектов Российской Федерации и муниципальных образований" администрация Шарангского муниципального района Нижегородской области </w:t>
      </w:r>
    </w:p>
    <w:p>
      <w:pPr>
        <w:pStyle w:val="ConsPlusNormal"/>
        <w:spacing w:lineRule="auto" w:line="360" w:before="0" w:after="0"/>
        <w:ind w:left="0" w:right="0" w:hanging="0"/>
        <w:jc w:val="both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 о с т а н о в л я е т:</w:t>
      </w:r>
    </w:p>
    <w:p>
      <w:pPr>
        <w:pStyle w:val="ConsPlus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Утвердить прилагаемый </w:t>
      </w:r>
      <w:hyperlink w:anchor="P29">
        <w:r>
          <w:rPr>
            <w:rFonts w:ascii="Times New Roman" w:hAnsi="Times New Roman"/>
            <w:sz w:val="28"/>
            <w:szCs w:val="28"/>
          </w:rPr>
          <w:t>Порядок</w:t>
        </w:r>
      </w:hyperlink>
      <w:r>
        <w:rPr>
          <w:rFonts w:ascii="Times New Roman" w:hAnsi="Times New Roman"/>
          <w:sz w:val="28"/>
          <w:szCs w:val="28"/>
        </w:rPr>
        <w:t xml:space="preserve"> формирования перечня налоговых расходов Шарангского муниципального района Нижегородской области и оценки налоговых расходов Шарангского муниципального района Нижегородской области.</w:t>
      </w:r>
    </w:p>
    <w:p>
      <w:pPr>
        <w:pStyle w:val="ConsPlusNormal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Признать утратившим силу </w:t>
      </w:r>
      <w:hyperlink r:id="rId5">
        <w:r>
          <w:rPr>
            <w:rFonts w:ascii="Times New Roman" w:hAnsi="Times New Roman"/>
            <w:sz w:val="28"/>
            <w:szCs w:val="28"/>
          </w:rPr>
          <w:t>постановление</w:t>
        </w:r>
      </w:hyperlink>
      <w:r>
        <w:rPr>
          <w:rFonts w:ascii="Times New Roman" w:hAnsi="Times New Roman"/>
          <w:sz w:val="28"/>
          <w:szCs w:val="28"/>
        </w:rPr>
        <w:t xml:space="preserve"> администрации Шарангского муниципального района Нижегородской области от 6 июля 2017 г. N 356 "Об утверждении Порядка проведения оценки эффективности предоставления налоговых льгот по местным налогам на территории Шарангского муниципального района".</w:t>
      </w:r>
    </w:p>
    <w:p>
      <w:pPr>
        <w:pStyle w:val="Normal"/>
        <w:shd w:val="clear" w:color="auto" w:fill="FFFFFF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Настоящее постановление вступает в силу со дня его официального опубликования в порядке, установленном Уставом Шарангского муниципального района, и распространяет действие на правоотношения, возникшие с 1 января 2020 года.</w:t>
      </w:r>
    </w:p>
    <w:p>
      <w:pPr>
        <w:pStyle w:val="Normal"/>
        <w:shd w:val="clear" w:color="auto" w:fill="FFFFFF"/>
        <w:spacing w:lineRule="auto" w:line="360" w:before="0" w:after="0"/>
        <w:ind w:left="0" w:right="0"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>4. Контроль за исполнением настоящего постановления возложить на заместителя главы администрации, заведующую отделом экономики и имущест</w:t>
      </w:r>
      <w:bookmarkStart w:id="0" w:name="_GoBack"/>
      <w:bookmarkEnd w:id="0"/>
      <w:r>
        <w:rPr>
          <w:rFonts w:cs="Times New Roman" w:ascii="Times New Roman" w:hAnsi="Times New Roman"/>
          <w:b w:val="false"/>
          <w:sz w:val="28"/>
          <w:szCs w:val="28"/>
        </w:rPr>
        <w:t>венных отношение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outlineLvl w:val="0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Утвержден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постановлением администрации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Шарангского муниципального района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4535" w:right="0" w:hanging="0"/>
        <w:jc w:val="center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>10.04.</w:t>
      </w:r>
      <w:r>
        <w:rPr>
          <w:rFonts w:ascii="Times New Roman" w:hAnsi="Times New Roman"/>
          <w:sz w:val="24"/>
          <w:szCs w:val="24"/>
        </w:rPr>
        <w:t xml:space="preserve">2020 г. N </w:t>
      </w:r>
      <w:r>
        <w:rPr>
          <w:rFonts w:ascii="Times New Roman" w:hAnsi="Times New Roman"/>
          <w:sz w:val="24"/>
          <w:szCs w:val="24"/>
        </w:rPr>
        <w:t>184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Title"/>
        <w:widowControl w:val="false"/>
        <w:bidi w:val="0"/>
        <w:spacing w:lineRule="auto" w:line="240" w:before="0" w:after="0"/>
        <w:ind w:left="1134" w:right="1134" w:hanging="0"/>
        <w:jc w:val="center"/>
        <w:rPr>
          <w:sz w:val="28"/>
          <w:szCs w:val="28"/>
        </w:rPr>
      </w:pPr>
      <w:bookmarkStart w:id="1" w:name="P29"/>
      <w:bookmarkEnd w:id="1"/>
      <w:r>
        <w:rPr>
          <w:rFonts w:ascii="Times New Roman" w:hAnsi="Times New Roman"/>
          <w:sz w:val="24"/>
          <w:szCs w:val="24"/>
        </w:rPr>
        <w:t>Порядок</w:t>
      </w:r>
    </w:p>
    <w:p>
      <w:pPr>
        <w:pStyle w:val="ConsPlusTitle"/>
        <w:widowControl w:val="false"/>
        <w:bidi w:val="0"/>
        <w:spacing w:lineRule="auto" w:line="240" w:before="0" w:after="0"/>
        <w:ind w:left="1134" w:right="1134" w:hanging="0"/>
        <w:jc w:val="center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формирования перечня налоговых расходов Шарангского муниципального района Нижегородской области и оценки налоговых расходов Шарангского муниципального района Нижегородской области</w:t>
      </w:r>
    </w:p>
    <w:p>
      <w:pPr>
        <w:pStyle w:val="ConsPlusTitle"/>
        <w:spacing w:lineRule="auto" w:line="240" w:before="0" w:after="0"/>
        <w:ind w:left="0" w:right="0" w:firstLine="567"/>
        <w:jc w:val="center"/>
        <w:rPr>
          <w:b w:val="false"/>
          <w:b w:val="false"/>
          <w:sz w:val="28"/>
          <w:szCs w:val="28"/>
        </w:rPr>
      </w:pPr>
      <w:r>
        <w:rPr>
          <w:rFonts w:ascii="Times New Roman" w:hAnsi="Times New Roman"/>
          <w:b w:val="false"/>
          <w:sz w:val="24"/>
          <w:szCs w:val="24"/>
        </w:rPr>
        <w:t>(далее – Порядок)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Title"/>
        <w:numPr>
          <w:ilvl w:val="0"/>
          <w:numId w:val="0"/>
        </w:numPr>
        <w:spacing w:lineRule="auto" w:line="240" w:before="0" w:after="0"/>
        <w:ind w:left="0" w:right="0" w:firstLine="567"/>
        <w:jc w:val="center"/>
        <w:outlineLvl w:val="1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I. Общие положения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1. Настоящий Порядок определяет правила формирования перечня налоговых расходов Шарангского муниципального района Нижегородской области и оценки налоговых расходов Шарангского муниципального района Нижегородской области.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1.2. В целях настоящего Порядка применяются термины и понятия, установленные общими </w:t>
      </w:r>
      <w:hyperlink r:id="rId6">
        <w:r>
          <w:rPr>
            <w:rFonts w:ascii="Times New Roman" w:hAnsi="Times New Roman"/>
            <w:sz w:val="24"/>
            <w:szCs w:val="24"/>
          </w:rPr>
          <w:t>требованиями</w:t>
        </w:r>
      </w:hyperlink>
      <w:r>
        <w:rPr>
          <w:rFonts w:ascii="Times New Roman" w:hAnsi="Times New Roman"/>
          <w:sz w:val="24"/>
          <w:szCs w:val="24"/>
        </w:rPr>
        <w:t xml:space="preserve"> к оценке налоговых расходов субъектов Российской Федерации и муниципальных образований, утвержденными постановлением Правительства Российской Федерации от 22 июня 2019 г. N 796.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1.3. Отнесение налоговых расходов Шарангского муниципального района Нижегородской области (далее - налоговые расходы) к муниципальным программам Шарангского муниципального района Нижегородской области (далее – муниципальный программы района) осуществляется исходя из целей муниципальных программ района, структурных элементов муниципальных программ района и (или) целей социально-экономической политики Шарангского муниципального района Нижегородской области (далее – цели социально-экономической политики района), не относящихся к муниципальным программам района.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1.4. В целях оценки налоговых расходов финансовое управление администрации Шарангского муниципального района Нижегородской области (далее – финансовое управление):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а) формирует перечень налоговых расходов;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б) осуществляет обобщение результатов оценки эффективности налоговых расходов, проводимой кураторами налоговых расходов;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в) дает разъяснения кураторам налоговых расходов по вопросам оценки эффективности налоговых расходов.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Title"/>
        <w:numPr>
          <w:ilvl w:val="0"/>
          <w:numId w:val="0"/>
        </w:numPr>
        <w:spacing w:lineRule="auto" w:line="240" w:before="0" w:after="0"/>
        <w:ind w:left="0" w:right="0" w:firstLine="567"/>
        <w:jc w:val="center"/>
        <w:outlineLvl w:val="1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II. Порядок формирования перечня налоговых расходов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2.1. Проект перечня налоговых расходов на очередной финансовый год и плановый период формируется финансовым управлением до 1 октября и направляется на согласование кураторам налоговых расходов.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2.2. Кураторы налоговых расходов рассматривают проект перечня налоговых расходов и до 10 октября представляют в финансовое управление информацию о распределении налоговых расходов по целям муниципальных программ района и (или) целям социально-экономической политики района, не относящимся к муниципальным программам района.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В случае несогласия с проектом перечня налоговых расходов кураторы налоговых расходов до 10 октября направляют в финансовое управление предложения по изменению кураторов налоговых расходов, предусмотренных проектом перечня налоговых расходов.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Предложения по изменению кураторов налоговых расходов, вносимые соответствующим куратором налоговых расходов, должны быть согласованы с предлагаемыми кураторами налоговых расходов.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В случае несогласия кураторов налоговых расходов с проектом перечня налоговых расходов и предложениями по изменению кураторов налоговых расходов финансовое управление до 1 ноября текущего года обеспечивает проведение согласительных процедур с данными кураторами налоговых расходов.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2.3. Согласованный кураторами налоговых расходов </w:t>
      </w:r>
      <w:hyperlink w:anchor="P128">
        <w:r>
          <w:rPr>
            <w:rFonts w:ascii="Times New Roman" w:hAnsi="Times New Roman"/>
            <w:sz w:val="24"/>
            <w:szCs w:val="24"/>
          </w:rPr>
          <w:t>перечень</w:t>
        </w:r>
      </w:hyperlink>
      <w:r>
        <w:rPr>
          <w:rFonts w:ascii="Times New Roman" w:hAnsi="Times New Roman"/>
          <w:sz w:val="24"/>
          <w:szCs w:val="24"/>
        </w:rPr>
        <w:t xml:space="preserve"> налоговых расходов по форме согласно приложению 1 к настоящему Порядку размещается на официальном сайте администрации Шарангского муниципального района в информационно-телекоммуникационной сети "Интернет" не позднее 1 декабря.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2.4. В случае принятия нормативных правовых актов, предусматривающих изменение информации, включенной в перечень налоговых расходов, кураторы налоговых расходов в течение 10 рабочих дней с даты вступления в силу соответствующего нормативного правового акта направляют в финансовое управление информацию о необходимости внесения изменений в перечень налоговых расходов. Финансовое управление на основании полученной информации вносит соответствующие изменения в перечень налоговых расходов.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Title"/>
        <w:numPr>
          <w:ilvl w:val="0"/>
          <w:numId w:val="0"/>
        </w:numPr>
        <w:spacing w:lineRule="auto" w:line="240" w:before="0" w:after="0"/>
        <w:ind w:left="0" w:right="0" w:firstLine="567"/>
        <w:jc w:val="center"/>
        <w:outlineLvl w:val="1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III. Порядок оценки налоговых расходов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3.1. Оценка налоговых расходов осуществляется куратором налогового расхода.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Кураторы налоговых расходов в срок до 10 мая направляют в финансовое управление результаты оценки (с отражением показателей, указанных в </w:t>
      </w:r>
      <w:hyperlink w:anchor="P319">
        <w:r>
          <w:rPr>
            <w:rFonts w:ascii="Times New Roman" w:hAnsi="Times New Roman"/>
            <w:sz w:val="24"/>
            <w:szCs w:val="24"/>
          </w:rPr>
          <w:t>приложении 2</w:t>
        </w:r>
      </w:hyperlink>
      <w:r>
        <w:rPr>
          <w:rFonts w:ascii="Times New Roman" w:hAnsi="Times New Roman"/>
          <w:sz w:val="24"/>
          <w:szCs w:val="24"/>
        </w:rPr>
        <w:t xml:space="preserve"> к настоящему Порядку) с приложением аналитической записки по проведенным расчетам и пояснением (обоснованием) выводов, сделанных на основании данных расчетов.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3.2. Оценка эффективности налоговых расходов включает: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а) оценку целесообразности налоговых расходов;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б) оценку результативности налоговых расходов.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bookmarkStart w:id="2" w:name="P66"/>
      <w:bookmarkEnd w:id="2"/>
      <w:r>
        <w:rPr>
          <w:rFonts w:ascii="Times New Roman" w:hAnsi="Times New Roman"/>
          <w:sz w:val="24"/>
          <w:szCs w:val="24"/>
        </w:rPr>
        <w:t>3.3. Критериями целесообразности налоговых расходов являются: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соответствие налоговых расходов целям муниципальных программ района, структурным элементам муниципальных программ района и (или) целям социально-экономической политики района, не относящимся к муниципальным программам района;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востребованность плательщиками предоставленных льгот, которая характеризуется соотношением численности плательщиков, воспользовавшихся правом на льготы, и общей численности плательщиков, за пятилетний период.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При необходимости кураторами налоговых расходов могут быть установлены иные критерии целесообразности предоставления льгот для плательщиков.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3.4. В случае несоответствия налоговых расходов хотя бы одному из критериев, указанных в </w:t>
      </w:r>
      <w:hyperlink w:anchor="P66">
        <w:r>
          <w:rPr>
            <w:rFonts w:ascii="Times New Roman" w:hAnsi="Times New Roman"/>
            <w:sz w:val="24"/>
            <w:szCs w:val="24"/>
          </w:rPr>
          <w:t>пункте 3.</w:t>
        </w:r>
      </w:hyperlink>
      <w:r>
        <w:rPr>
          <w:rFonts w:ascii="Times New Roman" w:hAnsi="Times New Roman"/>
          <w:sz w:val="24"/>
          <w:szCs w:val="24"/>
        </w:rPr>
        <w:t>3 настоящего Порядка, куратору налогового расхода надлежит представить в финансовое управление предложения о сохранении (уточнении, отмене) льгот для плательщиков.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3.5. В качестве критерия результативности налогового расхода определяется как минимум один показатель (индикатор) достижения целей муниципальной программы района и (или) целей социально-экономической политики района, не относящихся к муниципальным программам района, либо иной показатель (индикатор), на значение которого оказывают влияние налоговые расходы.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3.6. Оценке подлежит вклад предусмотренных для плательщиков льгот в изменение значения показателя (индикатора) достижения целей муниципальной программы района области и (или) целей социально-экономической политики района, не относящихся к муниципальным программам района, который рассчитывается как разница между значением указанного показателя (индикатора) с учетом льгот и значением указанного показателя (индикатора) без учета льгот.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3.7. Оценка результативности налоговых расходов включает оценку бюджетной эффективности налоговых расходов.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3.8. В целях оценки бюджетной эффективности налоговых расходов осуществляются сравнительный анализ результативности предоставления льгот и результативности применения альтернативных механизмов достижения целей муниципальной программы района и (или) целей социально-экономической политики Шарангского муниципального района, не относящихся к муниципальным программам района.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3.9. Сравнительный анализ включает сравнение объемов расходов бюджета Шарангского муниципального района в случае применения альтернативных механизмов достижения целей муниципальных программ района и (или) целей социально-экономической политики Шарангского муниципального района, не относящихся к муниципальным программам района, и объемов предоставленных льгот (расчет прироста показателя (индикатора) достижения целей муниципальной программы района и (или) целей социально-экономической политики Шарангского муниципального района, не относящихся к муниципальным программам района, на 1 рубль налоговых расходов и на 1 рубль расходов районного бюджета для достижения того же показателя (индикатора) в случае применения альтернативных механизмов).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В качестве альтернативных механизмов достижения целей муниципальной программы района и (или) целей социально-экономической политики района, не относящихся к муниципальным программам района, могут учитываться в том числе: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а) субсидии или иные формы непосредственной финансовой поддержки плательщиков, имеющих право на льготы, за счет средств бюджета Шарангского муниципального района;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б) предоставление муниципальных гарантий по обязательствам плательщиков, имеющих право на льготы;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в) совершенствование нормативного регулирования и (или) порядка осуществления контрольно-надзорных функций в сфере деятельности плательщиков, имеющих право на льготы.</w:t>
      </w:r>
    </w:p>
    <w:p>
      <w:p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3.10. По итогам оценки эффективности налогового расхода куратор налогового расхода формулирует выводы о достижении целевых характеристик налогового расхода, вкладе налогового расхода в достижение целей муниципальной программы района и (или) целей социально-экономической политики района, не относящихся к муниципальным программам, а также о наличии или об отсутствии более результативных (менее затратных для бюджета Шарангского муниципального района альтернативных механизмов достижения целей муниципальной программы района и (или) целей социально-экономической политики района, не относящихся к муниципальным программам района.</w:t>
      </w:r>
    </w:p>
    <w:p>
      <w:pPr>
        <w:sectPr>
          <w:headerReference w:type="default" r:id="rId7"/>
          <w:headerReference w:type="first" r:id="rId8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ConsPlusNormal"/>
        <w:spacing w:lineRule="auto" w:line="240" w:before="0" w:after="0"/>
        <w:ind w:left="0" w:right="0" w:firstLine="567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3.11. Результаты рассмотрения оценки налоговых расходов учитываются при формировании основных направлений бюджетной и налоговой политики Шарангского муниципального района, а также при проведении оценки эффективности реализации муниципальных программ района.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10488" w:right="0" w:hanging="0"/>
        <w:jc w:val="center"/>
        <w:outlineLvl w:val="1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Приложение 1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lineRule="auto" w:line="240" w:before="0" w:after="0"/>
        <w:ind w:left="10488" w:right="0" w:hanging="0"/>
        <w:jc w:val="center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к Порядку формирования перечня налоговых расходов Шарангского муниципального района Нижегородской области и оценки налоговых расходов Шарангского муниципального района Нижегородской области</w:t>
      </w:r>
    </w:p>
    <w:p>
      <w:pPr>
        <w:pStyle w:val="ConsPlusNormal"/>
        <w:spacing w:lineRule="auto" w:line="240"/>
        <w:ind w:left="0" w:right="0" w:hanging="0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tabs>
          <w:tab w:val="clear" w:pos="709"/>
          <w:tab w:val="left" w:pos="10348" w:leader="none"/>
        </w:tabs>
        <w:suppressAutoHyphens w:val="true"/>
        <w:spacing w:lineRule="auto" w:line="240"/>
        <w:ind w:left="0" w:right="0" w:hanging="0"/>
        <w:jc w:val="both"/>
        <w:rPr>
          <w:rFonts w:eastAsia="Arial"/>
          <w:sz w:val="26"/>
          <w:szCs w:val="26"/>
          <w:lang w:eastAsia="ar-SA"/>
        </w:rPr>
      </w:pPr>
      <w:r>
        <w:rPr>
          <w:rFonts w:eastAsia="Arial" w:ascii="Times New Roman" w:hAnsi="Times New Roman"/>
          <w:sz w:val="24"/>
          <w:szCs w:val="24"/>
          <w:lang w:eastAsia="ar-SA"/>
        </w:rPr>
      </w:r>
    </w:p>
    <w:p>
      <w:pPr>
        <w:pStyle w:val="Normal"/>
        <w:widowControl w:val="false"/>
        <w:tabs>
          <w:tab w:val="clear" w:pos="709"/>
          <w:tab w:val="left" w:pos="10348" w:leader="none"/>
        </w:tabs>
        <w:suppressAutoHyphens w:val="true"/>
        <w:spacing w:lineRule="auto" w:line="240"/>
        <w:ind w:left="0" w:right="0" w:hanging="0"/>
        <w:jc w:val="both"/>
        <w:rPr>
          <w:rFonts w:eastAsia="Arial"/>
          <w:sz w:val="26"/>
          <w:szCs w:val="26"/>
          <w:lang w:eastAsia="ar-SA"/>
        </w:rPr>
      </w:pPr>
      <w:r>
        <w:rPr>
          <w:rFonts w:eastAsia="Arial" w:ascii="Times New Roman" w:hAnsi="Times New Roman"/>
          <w:sz w:val="24"/>
          <w:szCs w:val="24"/>
          <w:lang w:eastAsia="ar-SA"/>
        </w:rPr>
      </w:r>
    </w:p>
    <w:p>
      <w:pPr>
        <w:pStyle w:val="Normal"/>
        <w:widowControl w:val="false"/>
        <w:tabs>
          <w:tab w:val="clear" w:pos="709"/>
          <w:tab w:val="left" w:pos="10348" w:leader="none"/>
        </w:tabs>
        <w:suppressAutoHyphens w:val="true"/>
        <w:spacing w:lineRule="auto" w:line="240"/>
        <w:ind w:left="0" w:right="0" w:hanging="0"/>
        <w:jc w:val="center"/>
        <w:rPr>
          <w:rFonts w:eastAsia="Arial"/>
          <w:sz w:val="26"/>
          <w:szCs w:val="26"/>
          <w:lang w:eastAsia="ar-SA"/>
        </w:rPr>
      </w:pPr>
      <w:r>
        <w:rPr>
          <w:rFonts w:eastAsia="Arial" w:ascii="Times New Roman" w:hAnsi="Times New Roman"/>
          <w:sz w:val="24"/>
          <w:szCs w:val="24"/>
          <w:lang w:eastAsia="ar-SA"/>
        </w:rPr>
        <w:t xml:space="preserve"> </w:t>
      </w:r>
      <w:r>
        <w:rPr>
          <w:rFonts w:eastAsia="Arial" w:ascii="Times New Roman" w:hAnsi="Times New Roman"/>
          <w:sz w:val="24"/>
          <w:szCs w:val="24"/>
          <w:lang w:eastAsia="ar-SA"/>
        </w:rPr>
        <w:t>ПЕРЕЧЕНЬ</w:t>
      </w:r>
    </w:p>
    <w:p>
      <w:pPr>
        <w:pStyle w:val="Normal"/>
        <w:spacing w:lineRule="auto" w:line="240"/>
        <w:ind w:left="0" w:right="0" w:hanging="0"/>
        <w:jc w:val="center"/>
        <w:rPr>
          <w:bCs/>
          <w:sz w:val="28"/>
          <w:szCs w:val="28"/>
          <w:lang w:eastAsia="en-US"/>
        </w:rPr>
      </w:pPr>
      <w:r>
        <w:rPr>
          <w:rFonts w:ascii="Times New Roman" w:hAnsi="Times New Roman"/>
          <w:bCs/>
          <w:sz w:val="24"/>
          <w:szCs w:val="24"/>
          <w:lang w:eastAsia="en-US"/>
        </w:rPr>
        <w:t xml:space="preserve">НАЛОГОВЫХ РАСХОДОВ ШАРАНГСКОГО МУНИЦИПАЛЬНОГО РАЙОНА </w:t>
      </w:r>
    </w:p>
    <w:p>
      <w:pPr>
        <w:pStyle w:val="Normal"/>
        <w:spacing w:lineRule="auto" w:line="240"/>
        <w:ind w:left="0" w:right="0" w:hanging="0"/>
        <w:jc w:val="center"/>
        <w:rPr>
          <w:bCs/>
          <w:sz w:val="28"/>
          <w:szCs w:val="28"/>
          <w:lang w:eastAsia="en-US"/>
        </w:rPr>
      </w:pPr>
      <w:r>
        <w:rPr>
          <w:rFonts w:ascii="Times New Roman" w:hAnsi="Times New Roman"/>
          <w:bCs/>
          <w:sz w:val="24"/>
          <w:szCs w:val="24"/>
          <w:lang w:eastAsia="en-US"/>
        </w:rPr>
        <w:t xml:space="preserve">НИЖЕГОРОДСКОЙ ОБЛАСТИ НА _______ ГОД </w:t>
      </w:r>
    </w:p>
    <w:p>
      <w:pPr>
        <w:pStyle w:val="Normal"/>
        <w:jc w:val="center"/>
        <w:rPr>
          <w:bCs/>
          <w:sz w:val="28"/>
          <w:szCs w:val="28"/>
          <w:lang w:eastAsia="en-US"/>
        </w:rPr>
      </w:pPr>
      <w:r>
        <w:rPr>
          <w:rFonts w:ascii="Times New Roman" w:hAnsi="Times New Roman"/>
          <w:bCs/>
          <w:sz w:val="28"/>
          <w:szCs w:val="28"/>
          <w:lang w:eastAsia="en-US"/>
        </w:rPr>
      </w:r>
    </w:p>
    <w:tbl>
      <w:tblPr>
        <w:tblW w:w="15555" w:type="dxa"/>
        <w:jc w:val="righ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50"/>
        <w:gridCol w:w="1050"/>
        <w:gridCol w:w="885"/>
        <w:gridCol w:w="1035"/>
        <w:gridCol w:w="915"/>
        <w:gridCol w:w="1005"/>
        <w:gridCol w:w="1020"/>
        <w:gridCol w:w="1050"/>
        <w:gridCol w:w="1050"/>
        <w:gridCol w:w="990"/>
        <w:gridCol w:w="780"/>
        <w:gridCol w:w="1410"/>
        <w:gridCol w:w="1575"/>
        <w:gridCol w:w="1305"/>
        <w:gridCol w:w="1035"/>
      </w:tblGrid>
      <w:tr>
        <w:trPr>
          <w:trHeight w:val="2667" w:hRule="atLeast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№ </w:t>
            </w:r>
            <w:r>
              <w:rPr>
                <w:rFonts w:ascii="Times New Roman" w:hAnsi="Times New Roman"/>
                <w:sz w:val="16"/>
                <w:szCs w:val="16"/>
              </w:rPr>
              <w:t>п/п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Наименование налога, по которому предусматривается налоговая льгота, освобождение, преференция (налоговый расход)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Наименование налоговой льготы, освобождения, преференции (содержание налогового расхода)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Ссылка на положение НПА, устанавливающего налоговую льготу, освобождение, преференцию (статья, часть, пункт, подпункт)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Дата начала действия права на налоговую льготу, освобождение, преференцию (налогового расхода)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Дата прекращения действия налоговой льготы, освобождения, преференции (налогового расхода)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Период действия налоговой льготы, освобождения, преференции (налогового расхода)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Условия предоставления налоговой льготы, освобождения, преференции (налогового расхода)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Целевая категория плательщиков, для которых предусмотрены налоговые льготы, освобождения, преференции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Цель предоставления налоговой льготы, освобождения, преференции (налогового расхода)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Целевая категория налогового расхода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Наименование муниципальной программы / направления социально-экономической политики Шарангского муниципального района, целям которой(-ого) соответствует налоговый расход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Наименование структурного элемента (подпрограммы) муниципальной программы Шарангского муниципального района, целям которого соответствует налоговый расход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Ответственный исполнитель муниципальной программы (подпрограммы) / направления социально-экономической политики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18"/>
                <w:szCs w:val="18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Куратор налогового расхода</w:t>
            </w:r>
          </w:p>
        </w:tc>
      </w:tr>
      <w:tr>
        <w:trPr/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</w:tr>
      <w:tr>
        <w:trPr>
          <w:trHeight w:val="397" w:hRule="atLeast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</w:tbl>
    <w:p>
      <w:pPr>
        <w:sectPr>
          <w:headerReference w:type="default" r:id="rId9"/>
          <w:type w:val="nextPage"/>
          <w:pgSz w:orient="landscape" w:w="16838" w:h="11906"/>
          <w:pgMar w:left="600" w:right="653" w:header="1134" w:top="1648" w:footer="0" w:bottom="677" w:gutter="0"/>
          <w:pgNumType w:fmt="decimal"/>
          <w:formProt w:val="false"/>
          <w:textDirection w:val="lrTb"/>
        </w:sectPr>
        <w:pStyle w:val="Normal"/>
        <w:spacing w:lineRule="auto" w:line="240" w:before="0" w:after="0"/>
        <w:ind w:left="0" w:right="0" w:firstLine="567"/>
        <w:jc w:val="center"/>
        <w:rPr>
          <w:bCs/>
          <w:sz w:val="22"/>
          <w:szCs w:val="22"/>
          <w:lang w:eastAsia="en-US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outlineLvl w:val="1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Приложение 2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к Порядку формирования перечня налоговых расходов Шарангского муниципального района Нижегородской области и оценки налоговых расходов Шарангского муниципального района Нижегородской области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Title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sz w:val="28"/>
          <w:szCs w:val="28"/>
        </w:rPr>
      </w:pPr>
      <w:bookmarkStart w:id="3" w:name="P319"/>
      <w:bookmarkEnd w:id="3"/>
      <w:r>
        <w:rPr>
          <w:rFonts w:ascii="Times New Roman" w:hAnsi="Times New Roman"/>
          <w:sz w:val="24"/>
          <w:szCs w:val="24"/>
        </w:rPr>
        <w:t>Перечень</w:t>
      </w:r>
    </w:p>
    <w:p>
      <w:pPr>
        <w:pStyle w:val="ConsPlusTitle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1134" w:right="1134" w:hanging="0"/>
        <w:jc w:val="center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показателей для проведения оценки налоговых расходов</w:t>
      </w:r>
    </w:p>
    <w:p>
      <w:pPr>
        <w:pStyle w:val="ConsPlusNormal"/>
        <w:widowControl w:val="false"/>
        <w:numPr>
          <w:ilvl w:val="0"/>
          <w:numId w:val="0"/>
        </w:numPr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tbl>
      <w:tblPr>
        <w:tblW w:w="9600" w:type="dxa"/>
        <w:jc w:val="left"/>
        <w:tblInd w:w="69" w:type="dxa"/>
        <w:tblCellMar>
          <w:top w:w="102" w:type="dxa"/>
          <w:left w:w="62" w:type="dxa"/>
          <w:bottom w:w="102" w:type="dxa"/>
          <w:right w:w="62" w:type="dxa"/>
        </w:tblCellMar>
        <w:tblLook w:firstRow="0" w:noVBand="0" w:lastRow="0" w:firstColumn="0" w:lastColumn="0" w:noHBand="0" w:val="0000"/>
      </w:tblPr>
      <w:tblGrid>
        <w:gridCol w:w="615"/>
        <w:gridCol w:w="5790"/>
        <w:gridCol w:w="3195"/>
      </w:tblGrid>
      <w:tr>
        <w:trPr/>
        <w:tc>
          <w:tcPr>
            <w:tcW w:w="6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center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Источник данных</w:t>
            </w:r>
          </w:p>
        </w:tc>
      </w:tr>
      <w:tr>
        <w:trPr/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pacing w:before="0" w:after="0"/>
              <w:ind w:left="0" w:right="0" w:hanging="0"/>
              <w:jc w:val="center"/>
              <w:outlineLvl w:val="2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I. Нормативные и целевые характеристики налогового расхода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Нормативный правовой акт, устанавливающий налоговые льготы, освобождения и иные преференции по налогам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Условия предоставления налоговых льгот, освобождений и иных преференций, установленных нормативными правовыми актами Шарангского муниципального района Нижегородской области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Целевая категория плательщиков налогов, для которых предусмотрены налоговые льготы, освобождения и иные преференции, установленные нормативными правовыми актами 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вступления в силу положений нормативных правовых актов Шарангского муниципального района Нижегородской области, устанавливающих налоговые льготы, освобождения и иные преференции по налогам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начала действия предоставленного нормативными правовыми актами Шарангского муниципального района Нижегородской области права на налоговые льготы, освобождения и иные преференции по налогам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 действия налоговых льгот, освобождений и иных преференций по налогам, предоставленных нормативными правовыми актами Шарангского муниципального района Нижегородской области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прекращения действия налоговых льгот, освобождений и иных преференций по налогам, установленная нормативными правовыми актами Шарангского муниципального района Нижегородской области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налоговых льгот, освобождений и иных преференций по налогам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Целевая категория налогового расхода Шарангского муниципального района Нижегородской области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Цели предоставления налоговых льгот, освобождений и иных преференций для плательщиков налогов, установленных нормативными правовыми актами Шарангского муниципального района Нижегородской области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 налогового расхода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Наименования налогов, по которым предусматриваются налоговые льготы, освобождения и иные преференции, установленные нормативными правовыми актами Шарангского муниципального района Нижегородской области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 налоговых льгот, освобождений и иных преференций, определяющий особенности предоставленных отдельным категориям плательщиков налогов преимуществ по сравнению с другими плательщиками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Размер налоговой ставки, в пределах которой предоставляются налоговые льготы, освобождения и иные преференции по налогам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Показатель (индикатор) достижения целей муниципальных программ района и (или) целей социально-экономической политики Шарангского муниципального района Нижегородской области, не относящихся к муниципальным программам района, в связи с предоставлением налоговых льгот, освобождений и иных преференций по налогам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 налогового расхода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Код вида экономической деятельности (по общероссийскому </w:t>
            </w:r>
            <w:hyperlink r:id="rId10">
              <w:r>
                <w:rPr>
                  <w:rFonts w:ascii="Times New Roman" w:hAnsi="Times New Roman"/>
                  <w:sz w:val="24"/>
                  <w:szCs w:val="24"/>
                </w:rPr>
                <w:t>классификатору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видов экономической деятельности), к которому относится налоговый расход (если налоговый расход обусловлен налоговыми льготами, освобождениями и иными преференциями для отдельных видов экономической деятельности)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 налогового расхода</w:t>
            </w:r>
          </w:p>
        </w:tc>
      </w:tr>
      <w:tr>
        <w:trPr/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numPr>
                <w:ilvl w:val="0"/>
                <w:numId w:val="0"/>
              </w:numPr>
              <w:spacing w:before="0" w:after="0"/>
              <w:ind w:left="0" w:right="0" w:hanging="0"/>
              <w:jc w:val="center"/>
              <w:outlineLvl w:val="2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II. Фискальные характеристики налогового расхода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 налоговых льгот, освобождений и иных преференций, предоставленных для плательщиков налогов, в соответствии с нормативными правовыми актами Шарангского муниципального района Нижегородской области за отчетный год и за год, предшествующий отчетному году, тыс. рублей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Федеральной налоговой службы по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объема предоставленных налоговых льгот, освобождений и иных преференций для плательщиков налогов на текущий финансовый год, очередной финансовый год и плановый период, тыс. рублей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 налогового расхода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плательщиков налогов, воспользовавшихся налоговой льготой, освобождением и иной преференцией, установленных нормативными правовыми актами Шарангского муниципального района Нижегородской области, единиц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Управление Федеральной налоговой службы по Нижегородской области</w:t>
            </w:r>
          </w:p>
        </w:tc>
      </w:tr>
      <w:tr>
        <w:trPr/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5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 оценки эффективности налогового расхода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spacing w:before="0" w:after="0"/>
              <w:ind w:left="0" w:right="0" w:hanging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Куратор налогового расхода</w:t>
            </w:r>
          </w:p>
        </w:tc>
      </w:tr>
    </w:tbl>
    <w:p>
      <w:pPr>
        <w:pStyle w:val="ConsPlusNormal"/>
        <w:spacing w:lineRule="auto" w:line="240" w:before="0" w:after="0"/>
        <w:ind w:left="0" w:right="0" w:hanging="0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</w:r>
    </w:p>
    <w:sectPr>
      <w:headerReference w:type="default" r:id="rId11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9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9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paragraph" w:styleId="Style13" w:customStyle="1">
    <w:name w:val="Заголовок"/>
    <w:basedOn w:val="Normal"/>
    <w:next w:val="Style14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4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5">
    <w:name w:val="List"/>
    <w:basedOn w:val="Style14"/>
    <w:rsid w:val="0055234d"/>
    <w:pPr/>
    <w:rPr>
      <w:rFonts w:cs="Mangal"/>
    </w:rPr>
  </w:style>
  <w:style w:type="paragraph" w:styleId="Style16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8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1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2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3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ConsPlusTitle">
    <w:name w:val="ConsPlusTitle"/>
    <w:qFormat/>
    <w:pPr>
      <w:widowControl w:val="false"/>
      <w:bidi w:val="0"/>
      <w:spacing w:before="0" w:after="0"/>
      <w:jc w:val="left"/>
    </w:pPr>
    <w:rPr>
      <w:rFonts w:ascii="Liberation Serif" w:hAnsi="Liberation Serif" w:eastAsia="NSimSun" w:cs="Mangal"/>
      <w:b/>
      <w:color w:val="auto"/>
      <w:kern w:val="2"/>
      <w:sz w:val="20"/>
      <w:szCs w:val="24"/>
      <w:lang w:eastAsia="ru-RU" w:val="ru-RU"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F12AE05D3759F3633C094EE0B4E5A2BFDBF48F631359F1D35A199104FFAB3EF54CF3B955596B73B44891021F4AB1C4FAF6507D200A497BV0L" TargetMode="External"/><Relationship Id="rId4" Type="http://schemas.openxmlformats.org/officeDocument/2006/relationships/hyperlink" Target="consultantplus://offline/ref=F12AE05D3759F3633C094EE0B4E5A2BFDBF48F6E1F59F1D35A199104FFAB3EF55EF3E15C5C696ABF1FDE444A457BV3L" TargetMode="External"/><Relationship Id="rId5" Type="http://schemas.openxmlformats.org/officeDocument/2006/relationships/hyperlink" Target="consultantplus://offline/ref=F12AE05D3759F3633C094EF6B789FDBADFFDD6671452FB850646CA59A8A234A20BBCE0001A3879BD18DE464959B1C0E67FV6L" TargetMode="External"/><Relationship Id="rId6" Type="http://schemas.openxmlformats.org/officeDocument/2006/relationships/hyperlink" Target="consultantplus://offline/ref=F12AE05D3759F3633C094EE0B4E5A2BFDBF48F6E1F59F1D35A199104FFAB3EF54CF3B9505E6D74BF15CB121B03E6CDE6F24D63211449B06C7BV2L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yperlink" Target="consultantplus://offline/ref=F12AE05D3759F3633C094EE0B4E5A2BFDBF2886D1154F1D35A199104FFAB3EF55EF3E15C5C696ABF1FDE444A457BV3L" TargetMode="External"/><Relationship Id="rId11" Type="http://schemas.openxmlformats.org/officeDocument/2006/relationships/header" Target="header4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Application>LibreOffice/6.4.2.2$Windows_X86_64 LibreOffice_project/4e471d8c02c9c90f512f7f9ead8875b57fcb1ec3</Application>
  <Pages>9</Pages>
  <Words>1939</Words>
  <Characters>15481</Characters>
  <CharactersWithSpaces>17270</CharactersWithSpaces>
  <Paragraphs>161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2020-04-10T16:17:10Z</cp:lastPrinted>
  <dcterms:modified xsi:type="dcterms:W3CDTF">2020-04-10T16:17:48Z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