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rFonts w:ascii="Times New Roman" w:hAnsi="Times New Roman"/>
          <w:b/>
          <w:b/>
          <w:color w:val="000000"/>
          <w:kern w:val="2"/>
          <w:sz w:val="32"/>
        </w:rPr>
      </w:pPr>
      <w:r>
        <w:rPr>
          <w:rFonts w:ascii="Times New Roman" w:hAnsi="Times New Roman"/>
          <w:b/>
          <w:color w:val="000000"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color w:val="000000"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color w:val="000000"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rFonts w:ascii="Times New Roman" w:hAnsi="Times New Roman"/>
          <w:color w:val="000000"/>
          <w:spacing w:val="60"/>
          <w:sz w:val="28"/>
          <w:szCs w:val="28"/>
        </w:rPr>
      </w:pPr>
      <w:r>
        <w:rPr>
          <w:rFonts w:ascii="Times New Roman" w:hAnsi="Times New Roman"/>
          <w:color w:val="000000"/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rFonts w:ascii="Times New Roman" w:hAnsi="Times New Roman"/>
          <w:color w:val="000000"/>
          <w:spacing w:val="60"/>
          <w:sz w:val="28"/>
          <w:szCs w:val="28"/>
        </w:rPr>
      </w:pPr>
      <w:r>
        <w:rPr>
          <w:rFonts w:ascii="Times New Roman" w:hAnsi="Times New Roman"/>
          <w:color w:val="000000"/>
          <w:spacing w:val="60"/>
          <w:sz w:val="28"/>
          <w:szCs w:val="28"/>
        </w:rPr>
      </w:r>
    </w:p>
    <w:p>
      <w:pPr>
        <w:pStyle w:val="Normal"/>
        <w:jc w:val="both"/>
        <w:rPr>
          <w:rFonts w:ascii="Times New Roman" w:hAnsi="Times New Roman"/>
          <w:color w:val="000000"/>
          <w:spacing w:val="60"/>
          <w:sz w:val="28"/>
          <w:szCs w:val="28"/>
        </w:rPr>
      </w:pPr>
      <w:r>
        <w:rPr>
          <w:rFonts w:ascii="Times New Roman" w:hAnsi="Times New Roman"/>
          <w:color w:val="000000"/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от </w:t>
      </w:r>
      <w:r>
        <w:rPr>
          <w:rFonts w:ascii="Times New Roman" w:hAnsi="Times New Roman"/>
          <w:color w:val="000000"/>
          <w:sz w:val="28"/>
          <w:szCs w:val="28"/>
        </w:rPr>
        <w:t>16</w:t>
      </w:r>
      <w:r>
        <w:rPr>
          <w:rFonts w:ascii="Times New Roman" w:hAnsi="Times New Roman"/>
          <w:color w:val="000000"/>
          <w:sz w:val="28"/>
          <w:szCs w:val="28"/>
        </w:rPr>
        <w:t>.01.20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lang w:val="ru-RU" w:eastAsia="zh-CN" w:bidi="ar-SA"/>
        </w:rPr>
        <w:t>20</w:t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  <w:lang w:val="en-US"/>
        </w:rPr>
        <w:t>N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1</w:t>
      </w:r>
      <w:r>
        <w:rPr>
          <w:rFonts w:ascii="Times New Roman" w:hAnsi="Times New Roman"/>
          <w:color w:val="000000"/>
          <w:sz w:val="28"/>
          <w:szCs w:val="28"/>
        </w:rPr>
        <w:t>2</w:t>
      </w:r>
    </w:p>
    <w:p>
      <w:pPr>
        <w:pStyle w:val="Normal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</w:r>
    </w:p>
    <w:p>
      <w:pPr>
        <w:pStyle w:val="Normal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</w:r>
    </w:p>
    <w:p>
      <w:pPr>
        <w:pStyle w:val="Normal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</w:r>
    </w:p>
    <w:p>
      <w:pPr>
        <w:pStyle w:val="ConsPlusNormal"/>
        <w:widowControl w:val="false"/>
        <w:suppressAutoHyphens w:val="true"/>
        <w:overflowPunct w:val="false"/>
        <w:bidi w:val="0"/>
        <w:spacing w:lineRule="auto" w:line="240" w:before="240" w:after="200"/>
        <w:ind w:left="1134" w:right="1134" w:hanging="0"/>
        <w:contextualSpacing/>
        <w:jc w:val="center"/>
        <w:rPr>
          <w:rFonts w:ascii="Times New Roman" w:hAnsi="Times New Roman"/>
          <w:b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pacing w:val="2"/>
          <w:kern w:val="2"/>
          <w:sz w:val="28"/>
          <w:szCs w:val="28"/>
        </w:rPr>
        <w:t>Об утверждении Порядка предоставления субсидий на возмещение части затрат сельскохозяйственных товаропроизводителей на развитие мясного скотоводства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ConsPlusTitle"/>
        <w:bidi w:val="0"/>
        <w:spacing w:lineRule="auto" w:line="36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В соответствии со статьей 78 Бюджетного кодекса Российской Федерации, Законом Нижегородской области от 11 ноября 2005 года N 176-З "О наделении органов местного самоуправления Нижегородской области отдельными государственными полномочиями по поддержке сельскохозяйственного производства" и</w:t>
      </w:r>
      <w:r>
        <w:rPr>
          <w:rFonts w:cs="Times New Roman" w:ascii="Times New Roman" w:hAnsi="Times New Roman"/>
          <w:b w:val="false"/>
          <w:spacing w:val="2"/>
          <w:sz w:val="28"/>
          <w:szCs w:val="28"/>
        </w:rPr>
        <w:t xml:space="preserve"> постановлением Правительства Нижегородской области от 04 февраля 2015 года №47 «О порядке расходования субвенций из областного бюджета бюджетам муниципальных районов и городских округов Нижегородской области на возмещение части затрат на развитие мясного скотоводства»</w:t>
      </w:r>
      <w:r>
        <w:rPr>
          <w:rFonts w:cs="Times New Roman" w:ascii="Times New Roman" w:hAnsi="Times New Roman"/>
          <w:b w:val="false"/>
          <w:bCs w:val="false"/>
          <w:spacing w:val="2"/>
          <w:sz w:val="28"/>
          <w:szCs w:val="28"/>
        </w:rPr>
        <w:t xml:space="preserve">, </w:t>
      </w:r>
      <w:r>
        <w:rPr>
          <w:rFonts w:cs="Times New Roman" w:ascii="Times New Roman" w:hAnsi="Times New Roman"/>
          <w:b w:val="false"/>
          <w:sz w:val="28"/>
          <w:szCs w:val="28"/>
        </w:rPr>
        <w:t xml:space="preserve">администрация Шарангского муниципального района </w:t>
      </w:r>
    </w:p>
    <w:p>
      <w:pPr>
        <w:pStyle w:val="ConsPlusTitle"/>
        <w:bidi w:val="0"/>
        <w:spacing w:lineRule="auto" w:line="360" w:before="0" w:after="0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п о с т а н о в л я е т: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>
      <w:pPr>
        <w:pStyle w:val="ConsPlusNormal"/>
        <w:bidi w:val="0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bCs/>
          <w:color w:val="000000"/>
          <w:spacing w:val="2"/>
          <w:kern w:val="2"/>
          <w:sz w:val="28"/>
          <w:szCs w:val="28"/>
        </w:rPr>
        <w:t>1. Утвердить прилагаемый Порядок предоставления субсидий на</w:t>
      </w:r>
      <w:r>
        <w:rPr>
          <w:rFonts w:cs="Times New Roman" w:ascii="Times New Roman" w:hAnsi="Times New Roman"/>
          <w:b w:val="false"/>
          <w:bCs w:val="false"/>
          <w:color w:val="000000"/>
          <w:spacing w:val="2"/>
          <w:kern w:val="2"/>
          <w:sz w:val="28"/>
          <w:szCs w:val="28"/>
        </w:rPr>
        <w:t xml:space="preserve"> возмещение части затрат сельскохозяйственных товаропроизводителей </w:t>
      </w:r>
      <w:r>
        <w:rPr>
          <w:rFonts w:cs="Times New Roman" w:ascii="Times New Roman" w:hAnsi="Times New Roman"/>
          <w:b w:val="false"/>
          <w:bCs/>
          <w:color w:val="000000"/>
          <w:spacing w:val="2"/>
          <w:kern w:val="2"/>
          <w:sz w:val="28"/>
          <w:szCs w:val="28"/>
        </w:rPr>
        <w:t>на развитие мясного скотоводства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>
      <w:pPr>
        <w:sectPr>
          <w:headerReference w:type="default" r:id="rId3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extDirection w:val="lrTb"/>
          <w:docGrid w:type="default" w:linePitch="360" w:charSpace="24576"/>
        </w:sectPr>
        <w:pStyle w:val="ConsPlusNormal"/>
        <w:bidi w:val="0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2. Настоящее постановление вступает в силу со дня его подписания и распространяется на правоотношения, возникшие с 1 января 2020 года.</w:t>
      </w:r>
    </w:p>
    <w:p>
      <w:pPr>
        <w:pStyle w:val="ConsPlusNormal"/>
        <w:bidi w:val="0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3. Контроль за исполнением настоящего постановления возложить на начальника управления сельского хозяйства Шарангского муниципального района Лежнину О.А.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>
          <w:rFonts w:ascii="Times New Roman" w:hAnsi="Times New Roman"/>
          <w:color w:val="000000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2">
                <wp:simplePos x="0" y="0"/>
                <wp:positionH relativeFrom="column">
                  <wp:posOffset>107950</wp:posOffset>
                </wp:positionH>
                <wp:positionV relativeFrom="paragraph">
                  <wp:posOffset>8154035</wp:posOffset>
                </wp:positionV>
                <wp:extent cx="2952115" cy="1034415"/>
                <wp:effectExtent l="0" t="0" r="0" b="0"/>
                <wp:wrapSquare wrapText="bothSides"/>
                <wp:docPr id="2" name="Изображение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1640" cy="103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Изображение1" stroked="f" style="position:absolute;margin-left:8.5pt;margin-top:642.05pt;width:232.35pt;height:81.35pt">
                <w10:wrap type="none"/>
                <v:fill o:detectmouseclick="t" on="false"/>
                <v:stroke color="#3465a4" joinstyle="round" endcap="flat"/>
              </v:rect>
            </w:pict>
          </mc:Fallback>
        </mc:AlternateContent>
      </w:r>
      <w:r>
        <w:rPr>
          <w:rFonts w:ascii="Times New Roman" w:hAnsi="Times New Roman"/>
          <w:color w:val="000000"/>
          <w:sz w:val="28"/>
          <w:szCs w:val="28"/>
        </w:rPr>
        <w:t>Глава администрации</w:t>
        <w:tab/>
        <w:t>О.Л.Зыков</w:t>
      </w:r>
      <w:r>
        <w:br w:type="page"/>
      </w:r>
    </w:p>
    <w:p>
      <w:pPr>
        <w:pStyle w:val="ConsPlusNormal"/>
        <w:widowControl w:val="false"/>
        <w:suppressAutoHyphens w:val="true"/>
        <w:overflowPunct w:val="false"/>
        <w:bidi w:val="0"/>
        <w:ind w:left="4479" w:righ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Утвержден</w:t>
      </w:r>
    </w:p>
    <w:p>
      <w:pPr>
        <w:pStyle w:val="ConsPlusNormal"/>
        <w:widowControl w:val="false"/>
        <w:suppressAutoHyphens w:val="true"/>
        <w:overflowPunct w:val="false"/>
        <w:bidi w:val="0"/>
        <w:ind w:left="4479" w:righ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постановлением администрации</w:t>
      </w:r>
    </w:p>
    <w:p>
      <w:pPr>
        <w:pStyle w:val="ConsPlusNormal"/>
        <w:widowControl w:val="false"/>
        <w:suppressAutoHyphens w:val="true"/>
        <w:overflowPunct w:val="false"/>
        <w:bidi w:val="0"/>
        <w:ind w:left="4479" w:righ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Шарангского муниципального района</w:t>
      </w:r>
    </w:p>
    <w:p>
      <w:pPr>
        <w:pStyle w:val="ConsPlusNormal"/>
        <w:widowControl w:val="false"/>
        <w:suppressAutoHyphens w:val="true"/>
        <w:overflowPunct w:val="false"/>
        <w:bidi w:val="0"/>
        <w:ind w:left="4479" w:righ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от 16.01.2020 г. № </w:t>
      </w:r>
      <w:r>
        <w:rPr>
          <w:rFonts w:eastAsia="Times New Roman" w:cs="Arial" w:ascii="Times New Roman" w:hAnsi="Times New Roman"/>
          <w:color w:val="000000"/>
          <w:kern w:val="0"/>
          <w:sz w:val="24"/>
          <w:szCs w:val="24"/>
          <w:lang w:val="ru-RU" w:eastAsia="zh-CN" w:bidi="ar-SA"/>
        </w:rPr>
        <w:t>1</w:t>
      </w:r>
      <w:r>
        <w:rPr>
          <w:rFonts w:eastAsia="Times New Roman" w:cs="Arial" w:ascii="Times New Roman" w:hAnsi="Times New Roman"/>
          <w:color w:val="000000"/>
          <w:kern w:val="0"/>
          <w:sz w:val="24"/>
          <w:szCs w:val="24"/>
          <w:lang w:val="ru-RU" w:eastAsia="zh-CN" w:bidi="ar-SA"/>
        </w:rPr>
        <w:t>2</w:t>
      </w:r>
    </w:p>
    <w:p>
      <w:pPr>
        <w:pStyle w:val="ConsPlusNormal"/>
        <w:bidi w:val="0"/>
        <w:ind w:left="0" w:right="0" w:hanging="0"/>
        <w:jc w:val="right"/>
        <w:rPr>
          <w:rFonts w:ascii="Times New Roman" w:hAnsi="Times New Roman"/>
          <w:color w:val="000000"/>
          <w:spacing w:val="2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uto" w:line="240" w:before="0" w:after="0"/>
        <w:ind w:left="1134" w:right="1361" w:hanging="0"/>
        <w:jc w:val="center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Порядок предоставления субсидий на</w:t>
      </w:r>
      <w:r>
        <w:rPr>
          <w:rFonts w:ascii="Times New Roman" w:hAnsi="Times New Roman"/>
          <w:bCs/>
          <w:color w:val="000000"/>
          <w:spacing w:val="2"/>
          <w:kern w:val="2"/>
          <w:sz w:val="24"/>
          <w:szCs w:val="24"/>
        </w:rPr>
        <w:t xml:space="preserve"> возмещение части затрат сельскохозяйственных товаропроизводителей 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на развитие мясного скотоводства.</w:t>
      </w:r>
    </w:p>
    <w:p>
      <w:pPr>
        <w:pStyle w:val="ConsPlusNormal"/>
        <w:suppressAutoHyphens w:val="true"/>
        <w:overflowPunct w:val="false"/>
        <w:bidi w:val="0"/>
        <w:spacing w:lineRule="auto" w:line="240" w:before="0" w:after="0"/>
        <w:ind w:left="1134" w:right="1361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(далее –Порядок)</w:t>
      </w:r>
    </w:p>
    <w:p>
      <w:pPr>
        <w:pStyle w:val="ConsPlusNormal"/>
        <w:bidi w:val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uto" w:line="240" w:before="0" w:after="0"/>
        <w:ind w:left="0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1. Общие положения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pacing w:val="2"/>
          <w:sz w:val="24"/>
          <w:szCs w:val="24"/>
        </w:rPr>
      </w:pPr>
      <w:r>
        <w:rPr/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/>
      </w:pPr>
      <w:r>
        <w:rPr>
          <w:rFonts w:ascii="Times New Roman" w:hAnsi="Times New Roman"/>
          <w:spacing w:val="2"/>
          <w:sz w:val="24"/>
          <w:szCs w:val="24"/>
        </w:rPr>
        <w:t xml:space="preserve">1.1. Настоящий Порядок разработан в соответствии со </w:t>
      </w:r>
      <w:hyperlink r:id="rId4">
        <w:r>
          <w:rPr>
            <w:rStyle w:val="ListLabel10"/>
            <w:rFonts w:ascii="Times New Roman" w:hAnsi="Times New Roman"/>
            <w:spacing w:val="2"/>
            <w:sz w:val="24"/>
            <w:szCs w:val="24"/>
          </w:rPr>
          <w:t>статьей 78 Бюджетного кодекса Российской Федерации</w:t>
        </w:r>
      </w:hyperlink>
      <w:r>
        <w:rPr>
          <w:rFonts w:ascii="Times New Roman" w:hAnsi="Times New Roman"/>
          <w:spacing w:val="2"/>
          <w:sz w:val="24"/>
          <w:szCs w:val="24"/>
        </w:rPr>
        <w:t xml:space="preserve">, </w:t>
      </w:r>
      <w:hyperlink r:id="rId5">
        <w:r>
          <w:rPr>
            <w:rStyle w:val="ListLabel10"/>
            <w:rFonts w:ascii="Times New Roman" w:hAnsi="Times New Roman"/>
            <w:spacing w:val="2"/>
            <w:sz w:val="24"/>
            <w:szCs w:val="24"/>
          </w:rPr>
          <w:t>Законом Нижегородской области от 11 ноября 2005 г. № 176-З "О наделении органов местного самоуправления Нижегородской области отдельными государственными полномочиями по поддержке сельскохозяйственного производства"</w:t>
        </w:r>
      </w:hyperlink>
      <w:r>
        <w:rPr>
          <w:rFonts w:ascii="Times New Roman" w:hAnsi="Times New Roman"/>
          <w:spacing w:val="2"/>
          <w:sz w:val="24"/>
          <w:szCs w:val="24"/>
        </w:rPr>
        <w:t xml:space="preserve"> (далее - Закон).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1.2. Субсидии предоставляются: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- организациям, индивидуальным предпринимателям, крестьянским (фермерским) хозяйствам, производящим сельскохозяйственную продукцию, осуществляющим ее первичную и последующую (промышленную) переработку и реализующим эту продукцию, при условии, что в общем доходе от реализации товаров (работ, услуг) таких организаций, крестьянских (фермерских) хозяйств и индивидуальных предпринимателей доля дохода от реализации произведенной ими сельскохозяйственной продукции, включая продукцию ее первичной переработки, произведенную ими из сельскохозяйственного сырья собственного производства, составляет не менее 50 процентов за календарный год;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- организациям агропромышленного комплекса (далее - организации АПК), имеющим в собственности земли сельскохозяйственного назначения или заключившим договор аренды земель сельскохозяйственного назначения на срок пять и более лет (далее — получатели).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1.3. Предоставление субсидий осуществляется на основании соглашения, заключаемого получателем с Управлением сельского хозяйства администрации Шарангского муниципального района (далее - Управление) в соответствии с типовой формой, установленной финансовым управлением администрации Шарангского муниципального района Нижегородской области (далее - соглашение). Обязательным условием предоставления субсидии, включаемым в соглашение и в договоры (соглашения), заключенные в целях исполнения обязательств по соглашению, является согласие соответственно получателей субсидий и лиц, являющихся поставщиками (подрядчиками, исполнителями) по договорам (соглашениям), заключенным в целях исполнения обязательств по соглашению (за исключением государственных (муниципальных) унитарных предприятий, хозяйственных товариществ и обществ с участием публично-правовых образований в их уставных (складочных) капиталах, а также коммерческих организаций с участием таких товариществ и обществ в их уставных (складочных) капиталах), на осуществление Управлением и органами муниципального финансового контроля проверок соблюдения ими условий, целей и порядка предоставления субсидий, предусмотренных соглашением.</w:t>
      </w:r>
      <w:r>
        <w:rPr>
          <w:rFonts w:ascii="Times New Roman" w:hAnsi="Times New Roman"/>
          <w:i/>
          <w:iCs/>
          <w:spacing w:val="2"/>
          <w:sz w:val="24"/>
          <w:szCs w:val="24"/>
        </w:rPr>
        <w:t xml:space="preserve"> 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 xml:space="preserve">1.4. </w:t>
      </w:r>
      <w:r>
        <w:rPr>
          <w:rFonts w:ascii="Times New Roman" w:hAnsi="Times New Roman"/>
          <w:sz w:val="24"/>
          <w:szCs w:val="24"/>
        </w:rPr>
        <w:t xml:space="preserve">Главным распорядителем средств бюджета муниципального района в части субвенций из областного бюджета бюджету муниципального района, выделенных на </w:t>
      </w:r>
      <w:r>
        <w:rPr>
          <w:rFonts w:ascii="Times New Roman" w:hAnsi="Times New Roman"/>
          <w:spacing w:val="2"/>
          <w:sz w:val="24"/>
          <w:szCs w:val="24"/>
        </w:rPr>
        <w:t>возмещение части затрат на развитие мясного скотоводства</w:t>
      </w:r>
      <w:r>
        <w:rPr>
          <w:rFonts w:ascii="Times New Roman" w:hAnsi="Times New Roman"/>
          <w:sz w:val="24"/>
          <w:szCs w:val="24"/>
        </w:rPr>
        <w:t>, является Управление.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pacing w:val="2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2. Цели и условия предоставления субсидий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pacing w:val="2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2.1. Субсидии имеют целевое назначение.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2.2. Субсидии предоставляются получателям в целях возмещения части затрат (без учета налога на добавленную стоимость):</w:t>
      </w:r>
      <w:r>
        <w:rPr>
          <w:rFonts w:ascii="Times New Roman" w:hAnsi="Times New Roman"/>
          <w:i/>
          <w:iCs/>
          <w:spacing w:val="2"/>
          <w:sz w:val="24"/>
          <w:szCs w:val="24"/>
        </w:rPr>
        <w:t xml:space="preserve"> 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- на реконструкцию и строительство животноводческих объектов, включенных Министерством сельского хозяйства и продовольственных ресурсов Нижегородской области (далее –Минсельхозпрод) в Перечень животноводческих объектов, планируемых к строительству (реконструкции) в текущем финансовом году, в порядке, установленном пунктами 3.1 - 3.11 настоящего Порядка (далее - Перечень), для содержания крупного рогатого скота специализированных мясных пород, (далее - субсидии на реконструкцию (строительство), животноводческий объект);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- на содержание маточного поголовья мясного крупного рогатого скота.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2.3. Субсидии на реконструкцию (строительство) выплачиваются получателям в размере, не превышающем 50% затраченных средств, но не более 50% сметной стоимости реконструкции (строительства) животноводческих объектов.</w:t>
      </w:r>
      <w:r>
        <w:rPr>
          <w:rFonts w:ascii="Times New Roman" w:hAnsi="Times New Roman"/>
          <w:i/>
          <w:iCs/>
          <w:spacing w:val="2"/>
          <w:sz w:val="24"/>
          <w:szCs w:val="24"/>
        </w:rPr>
        <w:t xml:space="preserve"> 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Размер субсидии на реконструкцию (строительство) рассчитывается по следующим ставкам: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pacing w:val="2"/>
          <w:sz w:val="24"/>
          <w:szCs w:val="24"/>
        </w:rPr>
        <w:t>- на реконструкцию животноводческих объектов для содержания крупного рогатого скота специализированных мясных пород - 10 тысяч рублей на одно скотоместо маточного поголовья;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pacing w:val="2"/>
          <w:sz w:val="24"/>
          <w:szCs w:val="24"/>
        </w:rPr>
        <w:t>- на строительство животноводческих объектов для содержания крупного рогатого скота специализированных мясных пород мощностью до 100 голов маточного поголовья включительно - 20 тысяч рублей на одно скотоместо маточного поголовья;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- на строительство животноводческих объектов для содержания крупного рогатого скота специализированных мясных пород мощностью более 100 голов маточного поголовья - 40 тысяч рублей на одно скотоместо маточного поголовья.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2.4. Субсидия на содержание маточного поголовья мясного крупного рогатого скота предоставляется в размере 2 тысяч рублей на одну голову в год.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2.5. Условиями предоставления субсидий являются: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- соответствие получателя требованиям, установленным пунктом 3.15 настоящего Порядка;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pacing w:val="2"/>
          <w:sz w:val="24"/>
          <w:szCs w:val="24"/>
        </w:rPr>
        <w:t>- соблюдение получателем сроков подачи заявления для предоставления субсидии и представление полного комплекта документов, установленных пунктами 3.8 и 3.9 настоящего Порядка;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- своевременное представление отчетности о финансово-экономическом состоянии товаропроизводителей агропромышленного комплекса по формам, утвержденным приказом Министерства сельского хозяйства Российской Федерации, в порядке, установленном пунктом 4.1 настоящего Порядка, в течение срока действия соглашения;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- наличие уровня среднемесячной заработной платы не ниже полутора величин прожиточного минимума по Нижегородской области для трудоспособного населения за отчетный год (кроме индивидуальных предпринимателей и глав крестьянских (фермерских) хозяйств, не производящих выплат и иных вознаграждений физическим лицам).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 xml:space="preserve">В целях субсидирования среднемесячная заработная плата определяется на основании форм отчетности о финансово-экономическом состоянии товаропроизводителей агропромышленного комплекса за отчетный год № 5-АПК (строка 51000 графа 4 / строка 51000 графа 3) / 12 (для сельскохозяйственных организаций), № 1-КФХ (строка 231230 графа 3 / строка 231310 графа 3) / 12 (для крестьянских (фермерских) хозяйств), № 1-ИП (строка 241230 графа 3 / строка 241300 графа 3) / 12 (для индивидуальных предпринимателей). 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2.6. Дополнительными условиями предоставления субсидии на реконструкцию (строительство) являются следующие условия: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 xml:space="preserve">- строительство животноводческого объекта в соответствии с проектной документацией начато не ранее 1 января 2014 г.; 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/>
      </w:pPr>
      <w:r>
        <w:rPr>
          <w:rFonts w:ascii="Times New Roman" w:hAnsi="Times New Roman"/>
          <w:spacing w:val="2"/>
          <w:sz w:val="24"/>
          <w:szCs w:val="24"/>
        </w:rPr>
        <w:t>- получателем не снижено маточное поголовье на отчетную дату текущего года к уровню поголовья на 1 января текущего года;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/>
      </w:pPr>
      <w:r>
        <w:rPr>
          <w:rFonts w:ascii="Times New Roman" w:hAnsi="Times New Roman"/>
          <w:spacing w:val="2"/>
          <w:sz w:val="24"/>
          <w:szCs w:val="24"/>
        </w:rPr>
        <w:t xml:space="preserve">- соответствие выполненных строительных работ проектной документации, требованиям технических регламентов, результатам инженерных изысканий, требованиям градостроительного плана земельного участка, акту о приемке выполненных работ (далее - акт о приемке выполненных работ) и справке о стоимости выполненных работ и затрат, оформленных соответственно по формам № КС-2 и № КС-3, утвержденным </w:t>
      </w:r>
      <w:hyperlink r:id="rId6">
        <w:r>
          <w:rPr>
            <w:rStyle w:val="ListLabel10"/>
            <w:rFonts w:ascii="Times New Roman" w:hAnsi="Times New Roman"/>
            <w:spacing w:val="2"/>
            <w:sz w:val="24"/>
            <w:szCs w:val="24"/>
          </w:rPr>
          <w:t>постановлением Государственного комитета Российской Федерации по статистике от 11 ноября 1999 г. № 100</w:t>
        </w:r>
      </w:hyperlink>
      <w:r>
        <w:rPr>
          <w:rFonts w:ascii="Times New Roman" w:hAnsi="Times New Roman"/>
          <w:spacing w:val="2"/>
          <w:sz w:val="24"/>
          <w:szCs w:val="24"/>
        </w:rPr>
        <w:t xml:space="preserve"> (далее - справки по формам № КС-2, № КС-3);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/>
      </w:pPr>
      <w:r>
        <w:rPr>
          <w:rFonts w:ascii="Times New Roman" w:hAnsi="Times New Roman"/>
          <w:spacing w:val="2"/>
          <w:sz w:val="24"/>
          <w:szCs w:val="24"/>
        </w:rPr>
        <w:t>- срок реконструкции (строительства) животноводческих объектов не превышает одного года с даты фактического начала производства работ, определяемой на основании акта о приемке выполненных работ;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/>
      </w:pPr>
      <w:r>
        <w:rPr>
          <w:rFonts w:ascii="Times New Roman" w:hAnsi="Times New Roman"/>
          <w:spacing w:val="2"/>
          <w:sz w:val="24"/>
          <w:szCs w:val="24"/>
        </w:rPr>
        <w:t>- получатель обязуется в течение трех месяцев по окончании реконструкции (строительства) представить в Управление по месту представления отчетности о финансово-экономическом состоянии товаропроизводителей агропромышленного комплекса копию разрешения на ввод объекта в эксплуатацию;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/>
      </w:pPr>
      <w:r>
        <w:rPr>
          <w:rFonts w:ascii="Times New Roman" w:hAnsi="Times New Roman"/>
          <w:spacing w:val="2"/>
          <w:sz w:val="24"/>
          <w:szCs w:val="24"/>
        </w:rPr>
        <w:t>- получатель обязуется в течение шести месяцев с момента получения части субсидии на строительство (реконструкцию) в размере 50 процентов, выплаченной в соответствии с абзацем вторым пункта 3.12 настоящего Порядка после предоставления разрешения на ввод объекта в эксплуатацию, начать производственный процесс на животноводческом объекте и подтвердить данный факт актом комиссии Управления.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/>
      </w:pPr>
      <w:r>
        <w:rPr>
          <w:rFonts w:ascii="Times New Roman" w:hAnsi="Times New Roman"/>
          <w:spacing w:val="2"/>
          <w:sz w:val="24"/>
          <w:szCs w:val="24"/>
        </w:rPr>
        <w:t>В целях настоящего Порядка под производственным процессом на животноводческом объекте понимается действующий технологический процесс производства высококачественной говядины и наличие на данном объекте маточного поголовья в количестве не менее 50% от проектного числа скотомест;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/>
      </w:pPr>
      <w:r>
        <w:rPr>
          <w:rFonts w:ascii="Times New Roman" w:hAnsi="Times New Roman"/>
          <w:spacing w:val="2"/>
          <w:sz w:val="24"/>
          <w:szCs w:val="24"/>
        </w:rPr>
        <w:t>- получатель обязуется, что в течение 24 месяцев после получения оставшейся суммы субсидии на строительство (реконструкцию), выплаченной в соответствии с абзацем третьим пункта 3.12 настоящего Порядка после начала производственного процесса на животноводческом объекте, маточное поголовье на реконструированном (построенном) животноводческом объекте будет соответствовать количеству скотомест маточного поголовья, определенному проектной документацией, и подтверждаться актом комиссии Управления;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pacing w:val="2"/>
          <w:sz w:val="24"/>
          <w:szCs w:val="24"/>
        </w:rPr>
        <w:t>- получатель обязуется использовать реконструированный (построенный) животноводческий объект для целей содержания маточного поголовья в течение не менее пяти лет с момента ввода указанного объекта в эксплуатацию;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/>
      </w:pPr>
      <w:r>
        <w:rPr>
          <w:rFonts w:ascii="Times New Roman" w:hAnsi="Times New Roman"/>
          <w:spacing w:val="2"/>
          <w:sz w:val="24"/>
          <w:szCs w:val="24"/>
        </w:rPr>
        <w:t>- получатель обязуется не снижать маточное поголовье в течение пяти лет с момента ввода животноводческого объекта в эксплуатацию.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/>
      </w:pPr>
      <w:r>
        <w:rPr>
          <w:rFonts w:ascii="Times New Roman" w:hAnsi="Times New Roman"/>
          <w:spacing w:val="2"/>
          <w:sz w:val="24"/>
          <w:szCs w:val="24"/>
        </w:rPr>
        <w:t>2.7. Дополнительным условием предоставления субсидии на содержание маточного поголовья мясного крупного рогатого скота является обязательство получателя не допускать снижения численности маточного поголовья на отчетную дату к уровню маточного поголовья на 1 января отчетного года.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pacing w:val="2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3. Порядок предоставления субсидий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pacing w:val="2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/>
      </w:pPr>
      <w:r>
        <w:rPr>
          <w:rFonts w:ascii="Times New Roman" w:hAnsi="Times New Roman"/>
          <w:spacing w:val="2"/>
          <w:sz w:val="24"/>
          <w:szCs w:val="24"/>
        </w:rPr>
        <w:t>3.1. Получатели, претендующие на получение субсидии на реконструкцию (строительство), в срок до 1 июня текущего года включительно представляют в Управление заявочную документацию, включающую в себя: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/>
      </w:pPr>
      <w:r>
        <w:rPr>
          <w:rFonts w:ascii="Times New Roman" w:hAnsi="Times New Roman"/>
          <w:spacing w:val="2"/>
          <w:sz w:val="24"/>
          <w:szCs w:val="24"/>
        </w:rPr>
        <w:t>- заявку о включении животноводческого объекта в Перечень по форме, утвержденной Минсельхозпродом;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pacing w:val="2"/>
          <w:sz w:val="24"/>
          <w:szCs w:val="24"/>
        </w:rPr>
        <w:t>- технико-экономическое обоснование проекта реконструкции (строительства) животноводческого объекта по форме, утвержденной Минсельхозпродом;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/>
      </w:pPr>
      <w:r>
        <w:rPr>
          <w:rFonts w:ascii="Times New Roman" w:hAnsi="Times New Roman"/>
          <w:spacing w:val="2"/>
          <w:sz w:val="24"/>
          <w:szCs w:val="24"/>
        </w:rPr>
        <w:t xml:space="preserve">- копии проектной документации реконструкции (строительства) животноводческого объекта, подготовленной в соответствии с требованиями, установленными </w:t>
      </w:r>
      <w:hyperlink r:id="rId7">
        <w:r>
          <w:rPr>
            <w:rStyle w:val="ListLabel10"/>
            <w:rFonts w:ascii="Times New Roman" w:hAnsi="Times New Roman"/>
            <w:spacing w:val="2"/>
            <w:sz w:val="24"/>
            <w:szCs w:val="24"/>
          </w:rPr>
          <w:t>Градостроительным кодексом Российской Федерации</w:t>
        </w:r>
      </w:hyperlink>
      <w:r>
        <w:rPr>
          <w:rFonts w:ascii="Times New Roman" w:hAnsi="Times New Roman"/>
          <w:spacing w:val="2"/>
          <w:sz w:val="24"/>
          <w:szCs w:val="24"/>
        </w:rPr>
        <w:t>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/>
      </w:pPr>
      <w:r>
        <w:rPr>
          <w:rFonts w:ascii="Times New Roman" w:hAnsi="Times New Roman"/>
          <w:spacing w:val="2"/>
          <w:sz w:val="24"/>
          <w:szCs w:val="24"/>
        </w:rPr>
        <w:t>- копии разрешения на реконструкцию (строительство) животноводческого объекта.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/>
      </w:pPr>
      <w:r>
        <w:rPr>
          <w:rFonts w:ascii="Times New Roman" w:hAnsi="Times New Roman"/>
          <w:spacing w:val="2"/>
          <w:sz w:val="24"/>
          <w:szCs w:val="24"/>
        </w:rPr>
        <w:t>Копии указанных документов, верность которых не заверена нотариально, представляются с предъявлением оригинала и заверяются должностным лицом Управления в установленном законодательством порядке.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3.2. Получатели несут ответственность за достоверность сведений, представляемых в Управление, в соответствии с действующим законодательством.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3.3. Управление регистрируют заявочную документацию, представленную в соответствии с пунктом 3.1 настоящего Порядка, в день их поступления в журнале регистрации, проверяют представленные получателем документы и при отсутствии оснований для возврата получателю заявочной документации, предусмотренных в пункте 3.5 настоящего Порядка, формируют пакеты документов в отношении каждого получателя для направления в Минсельхозпрод.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3.4. В случае выявления оснований для возврата получателю заявочной документации, предусмотренных пунктом 3.5 настоящего Порядка, Управление направляет получателю уведомление об отказе в направлении в Минсельхозпрод представленной заявочной документации и возвращают заявочную документацию получателю.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3.5. Основаниями для возврата получателю заявочной документации являются: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несоблюдение получателем сроков представления заявочной документации, предусмотренных пунктом 3.1 настоящего Порядка;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несоответствие заявочной документации требованиям, определенным пунктом 3.1 настоящего Порядка, и (или) непредставление (представление не в полном объеме) заявочной документации;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недостоверность представленной получателем информации.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3.6. Заявочная документация, сформированная в соответствии с пунктом 3.3 настоящего Порядка, направляется Управлением в Минсельхозпрод в срок до 1 июля текущего года включительно.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Основанием для отказа во включении животноводческого объекта в Перечень является несоответствие животноводческого объекта критериям отбора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3.7. Управление в течение 3 рабочих дней со дня поступления из Министерства сельского хозяйства и продовольственных ресурсов Нижегородской области уведомления о включении (об отказе во включении) животноводческого объекта в Перечень информируют получателей о принятом Комиссией решении.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3.8. Для получения субсидии на реконструкцию (строительство) животноводческого объекта получатели, животноводческие объекты которых включены в Перечень, направляют в Управление: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- заявление о предоставлении субсидии;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- справку-расчет по форме согласно приложению 1 к настоящему Порядка;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- акт о приемке выполненных работ по форме № КС-2 и справку о стоимости выполненных работ и затрат по форме № КС-3;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- разрешение на ввод объекта в эксплуатацию.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Указанные документы представляются получателем в Управление в срок до 10-го числа месяца, следующего за кварталом, в котором получено разрешение на ввод объекта в эксплуатацию, а в случае получения разрешения на ввод объекта в эксплуатацию в 4 квартале текущего года - до 15 января следующего года.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3.9. Для получения субсидии на содержание маточного поголовья мясного крупного рогатого скота получатели направляют в Управления: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- заявление о предоставлении субсидии;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- справку-расчет по форме согласно приложению 2 к настоящему Порядка.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Указанные документы представляются получателем в Управление ежеквартально в срок до 10-го числа месяца, следующего за отчетным кварталом, а за 4 квартал текущего года - до 15 января следующего года.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3.10. Документы, указанные в пунктах 3.8 и 3.9 настоящего Порядка (далее - документы для предоставления субсидий), представляются получателем на электронном и бумажном носителях. Документы, представленные на бумажном носителе, должны быть заверены руководителем и главным бухгалтером в установленном законодательством порядке.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3.11. Управление: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1) проверяет соответствие получателей условиям предоставления субсидий, предусмотренным пунктами 2.5 - 2.7 настоящего Порядка.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Получение сведений, указанных в пункте 3.15 настоящего Порядка, Управление осуществляет самостоятельно, в том числе с использованием официального сайта Федеральной налоговой службы (https://www.nalog.ru) в информационно-телекоммуникационной сети "Интернет";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2) при отсутствии основания для отказа в предоставлении субсидии, предусмотренного подпунктом 3.12: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- заключает с получателем соглашение;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- составляет реестры по формам, аналогичным справкам-расчетам согласно приложениям 1 и 2 к настоящему Порядку (далее - реестры), и представляют их в Минсельхозпрод на бумажном и электронном носителях: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не позднее 15-го числа месяца, следующего за отчетным кварталом;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за 4 квартал текущего года - до 20 января следующего года.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Субсидии на строительство (реконструкцию) животноводческих объектов для содержания крупного рогатого скота специализированных мясных пород, начисленные, но не возмещенные в предыдущем году, включаются в реестры за четвертый квартал отдельной строкой.</w:t>
      </w:r>
      <w:r>
        <w:rPr>
          <w:rFonts w:cs="Arial" w:ascii="Times New Roman" w:hAnsi="Times New Roman"/>
          <w:color w:val="2D2D2D"/>
          <w:spacing w:val="2"/>
          <w:sz w:val="24"/>
          <w:szCs w:val="24"/>
        </w:rPr>
        <w:t xml:space="preserve"> 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3) в случае выявления основания для отказа в предоставлении субсидии, предусмотренного настоящим подпунктом, направляют получателям письменное уведомление об отказе в предоставлении субсидии с указанием причины отказа в течение срока, установленного подпунктом 2 настоящего пункта.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3.12.Основанием для отказа в предоставлении субсидии является: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1) несоответствие получателя условиям предоставления субсидии, установленным пунктами 2.5-2.7 настоящего Порядка;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2)несоответствие предоставленных получателем субсидии документов требованиям, определенным настоящим Порядком, или непредставление (предоставление не в полном объеме)указанных документов;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3)недостоверность представленной получателем субсидии информации.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3.13. Финансовое управление администрации Шарангского муниципального района Нижегородской области в течение 10 дней со дня поступления средств на лицевой счет Управления при участии Управления осуществляют расчеты с получателями в соответствии с действующим законодательством в рамках передачи полномочий по государственной поддержке сельскохозяйственного производства органам местного самоуправления в соответствии с Законом.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Субсидии на строительство (реконструкцию) выплачиваются в размере 50 процентов после представления разрешения на ввод объекта в эксплуатацию.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Оставшаяся сумма субсидии на строительство (реконструкцию) выплачивается после начала производственного процесса на животноводческом объекте для содержания крупного рогатого скота специализированных мясных пород.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3.14. Субсидия перечисляется на расчетный счет получателя, указанный в соглашении.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3.15. Средства, полученные в виде субсидий на возмещение засти затрат на развитие мясного скотоводства, отражаются получателями по дебету счета 51 "Расчетный счет" и кредиту счета 86 "Целевое финансирование". Одновременно сумму полученной субсидии отражают по дебету счета 86 "Целевое финансирование" и кредиту счета 98 "Доходы будущих периодов".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3.16. Требования, которым должны соответствовать получатели на первое число месяца, предшествующего месяцу, в котором планируется заключение соглашения: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1) у получателей субсидий должна отсутствовать просроченная задолженность по возврату в местный бюджет субсидий, бюджетных инвестиций, предоставленных в том числе в соответствии с иными муниципальными правовыми актами;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2) получатели субсидий - юридические лица не должны находиться в процессе реорганизации, ликвидации, банкротства, а получатели субсидий - индивидуальные предприниматели не должны прекратить деятельность в качестве индивидуального предпринимателя;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3) получатели субсидий не должны являться иностранными юридическими лицами, а также российскими юридическими лицами, в уставном (складочном) капитале которых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представления информации при проведении финансовых операций (офшорные зоны) в отношении таких юридических лиц, в совокупности превышает 50 процентов;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4) получатели субсидий не должны получать средства из местного бюджета в соответствии с иными муниципальными правовыми актами на цели, указанные в пункте 2.2 настоящего Положения;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5) в отношении получателя не должны быть выявлены факты нарушения условий, установленных при получении бюджетных средств, и их нецелевого использования. Данное ограничение не распространяется на получателей, устранивших нарушения либо возвративших средства в соответствующий бюджет.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3.17. Показатели результативности использования субсидии не устанавливаются.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spacing w:val="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4. Требования к отчетности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pacing w:val="2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4.1. Отчетность о финансово-экономическом состоянии товаропроизводителей агропромышленного комплекса представляется получателями в Управление.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Сроки и периодичность представления получателем отчетности о финансово-экономическом состоянии товаропроизводителей агропромышленного комплекса устанавливается Управлениям.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4.2. В течение трех месяцев по окончании строительства (реконструкции) животноводческого объекта получатели представляют в Управление по месту представления отчетности о финансово-экономическом состоянии товаропроизводителей агропромышленного комплекса копию разрешения на ввод объекта в эксплуатацию.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pacing w:val="2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pacing w:val="2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5. Требования об осуществлении контроля за соблюдением условий, целей и порядка предоставления субсидий и ответственность за их нарушение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pacing w:val="2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/>
      </w:pPr>
      <w:r>
        <w:rPr>
          <w:rFonts w:ascii="Times New Roman" w:hAnsi="Times New Roman"/>
          <w:spacing w:val="2"/>
          <w:sz w:val="24"/>
          <w:szCs w:val="24"/>
        </w:rPr>
        <w:t xml:space="preserve">5.1. Соблюдение условий, целей и порядка предоставления субсидий подлежит обязательной проверке в соответствии с </w:t>
      </w:r>
      <w:hyperlink r:id="rId8">
        <w:r>
          <w:rPr>
            <w:rStyle w:val="ListLabel10"/>
            <w:rFonts w:ascii="Times New Roman" w:hAnsi="Times New Roman"/>
            <w:spacing w:val="2"/>
            <w:sz w:val="24"/>
            <w:szCs w:val="24"/>
          </w:rPr>
          <w:t>Бюджетным кодексом Российской Федерации</w:t>
        </w:r>
      </w:hyperlink>
      <w:r>
        <w:rPr>
          <w:rFonts w:ascii="Times New Roman" w:hAnsi="Times New Roman"/>
          <w:spacing w:val="2"/>
          <w:sz w:val="24"/>
          <w:szCs w:val="24"/>
        </w:rPr>
        <w:t>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/>
      </w:pPr>
      <w:r>
        <w:rPr>
          <w:rFonts w:ascii="Times New Roman" w:hAnsi="Times New Roman"/>
          <w:spacing w:val="2"/>
          <w:sz w:val="24"/>
          <w:szCs w:val="24"/>
        </w:rPr>
        <w:t>Контроль за соблюдением условий, целей и порядка предоставления субсидий осуществляется Управлениям и органами муниципального финансового контроля Шарангского района в пределах компетенции.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5.2. Управление в течение пяти лет с момента ввода животноводческого объекта для содержания крупного рогатого скота специализированных мясных пород в эксплуатацию ежегодно производит пересчет маточного поголовья крупного рогатого скота специализированных мясных пород получателя по состоянию на 1 января текущего года, составляет акт пересчета скота и не позднее 15 января текущего года представляет его в Минсельхозпрод.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/>
      </w:pPr>
      <w:r>
        <w:rPr>
          <w:rFonts w:ascii="Times New Roman" w:hAnsi="Times New Roman"/>
          <w:spacing w:val="2"/>
          <w:sz w:val="24"/>
          <w:szCs w:val="24"/>
        </w:rPr>
        <w:t xml:space="preserve">5.3. Контроль за соответствием выполненных строительных работ проектной документации, требованиям технических регламентов, результатам инженерных изысканий, требованиям градостроительного плана земельного участка осуществляется в порядке, установленном </w:t>
      </w:r>
      <w:hyperlink r:id="rId9">
        <w:r>
          <w:rPr>
            <w:rStyle w:val="ListLabel10"/>
            <w:rFonts w:ascii="Times New Roman" w:hAnsi="Times New Roman"/>
            <w:spacing w:val="2"/>
            <w:sz w:val="24"/>
            <w:szCs w:val="24"/>
          </w:rPr>
          <w:t>Градостроительным кодексом Российской Федерации</w:t>
        </w:r>
      </w:hyperlink>
      <w:r>
        <w:rPr>
          <w:rFonts w:ascii="Times New Roman" w:hAnsi="Times New Roman"/>
          <w:spacing w:val="2"/>
          <w:sz w:val="24"/>
          <w:szCs w:val="24"/>
        </w:rPr>
        <w:t>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5.4. Субсидии подлежат возврату в местный бюджет в течение 30 дней с момента установления факта выплаты (получения) бюджетных средств с нарушением условий, целей и порядка предоставления субсидий, установленных настоящим Порядком, в случаях, если получатель: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pacing w:val="2"/>
          <w:sz w:val="24"/>
          <w:szCs w:val="24"/>
        </w:rPr>
        <w:t>не представляет в установленные сроки отчетность о финансово-экономическом состоянии товаропроизводителей агропромышленного комплекса в порядке, установленном пунктом 4.1 настоящего Порядка;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не начал производственный процесс на животноводческом объекте в установленный срок;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использует построенный животноводческий объект для целей, не предусмотренных настоящим Порядком, в течение пяти лет с момента ввода указанного объекта в эксплуатацию;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снизил маточное поголовье крупного рогатого скота специализированных мясных пород в течение пяти лет с момента ввода животноводческого объекта для содержания крупного рогатого скота специализированных мясных пород в эксплуатацию;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 xml:space="preserve">не заполнил маточным поголовьем крупного рогатого скота специализированных мясных пород в полном объеме скотоместа маточного поголовья, определенные проектной документацией, в течение 24 месяцев после получения оставшейся суммы субсидии на строительство (реконструкцию), выплаченной в соответствии с абзацем третьим пункта 3.18 настоящего Порядка после начала производственного процесса на животноводческом объекте </w:t>
      </w:r>
    </w:p>
    <w:p>
      <w:pPr>
        <w:sectPr>
          <w:headerReference w:type="default" r:id="rId10"/>
          <w:type w:val="nextPage"/>
          <w:pgSz w:w="11906" w:h="16838"/>
          <w:pgMar w:left="1418" w:right="678" w:header="930" w:top="987" w:footer="0" w:bottom="608" w:gutter="0"/>
          <w:pgNumType w:fmt="decimal"/>
          <w:formProt w:val="false"/>
          <w:textDirection w:val="lrTb"/>
          <w:docGrid w:type="default" w:linePitch="360" w:charSpace="24576"/>
        </w:sectPr>
        <w:pStyle w:val="Normal"/>
        <w:widowControl/>
        <w:shd w:fill="FFFFFF"/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eastAsia="Times New Roman" w:cs="Arial" w:ascii="Times New Roman" w:hAnsi="Times New Roman"/>
          <w:bCs/>
          <w:color w:val="2D2D2D"/>
          <w:spacing w:val="2"/>
          <w:kern w:val="2"/>
          <w:sz w:val="24"/>
          <w:szCs w:val="24"/>
        </w:rPr>
        <w:t>5.5. Не использованный по состоянию на 1 января очередного финансового года остаток субсидии подлежит возврату в местный бюджет в установленном законодательством порядке.</w:t>
      </w:r>
    </w:p>
    <w:p>
      <w:pPr>
        <w:pStyle w:val="Normal"/>
        <w:shd w:fill="FFFFFF"/>
        <w:suppressAutoHyphens w:val="true"/>
        <w:overflowPunct w:val="false"/>
        <w:bidi w:val="0"/>
        <w:spacing w:lineRule="auto" w:line="240" w:before="0" w:after="0"/>
        <w:ind w:left="10488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2D2D2D"/>
          <w:spacing w:val="2"/>
          <w:sz w:val="24"/>
          <w:szCs w:val="24"/>
        </w:rPr>
        <w:t>Приложение 1</w:t>
      </w:r>
    </w:p>
    <w:p>
      <w:pPr>
        <w:pStyle w:val="ConsPlusNormal"/>
        <w:suppressAutoHyphens w:val="true"/>
        <w:overflowPunct w:val="false"/>
        <w:bidi w:val="0"/>
        <w:spacing w:lineRule="auto" w:line="240" w:before="0" w:after="0"/>
        <w:ind w:left="10488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Порядку предоставления субсидий на</w:t>
      </w:r>
      <w:r>
        <w:rPr>
          <w:rFonts w:ascii="Times New Roman" w:hAnsi="Times New Roman"/>
          <w:bCs/>
          <w:spacing w:val="2"/>
          <w:kern w:val="2"/>
          <w:sz w:val="24"/>
          <w:szCs w:val="24"/>
        </w:rPr>
        <w:t xml:space="preserve"> возмещение части затрат сельскохозяйственных товаропроизводителей </w:t>
      </w:r>
      <w:r>
        <w:rPr>
          <w:rFonts w:ascii="Times New Roman" w:hAnsi="Times New Roman"/>
          <w:spacing w:val="2"/>
          <w:sz w:val="24"/>
          <w:szCs w:val="24"/>
        </w:rPr>
        <w:t>на развитие мясного скотоводства</w:t>
      </w:r>
    </w:p>
    <w:p>
      <w:pPr>
        <w:pStyle w:val="ConsPlusNormal"/>
        <w:suppressAutoHyphens w:val="true"/>
        <w:overflowPunct w:val="false"/>
        <w:bidi w:val="0"/>
        <w:spacing w:lineRule="auto" w:line="240" w:before="0" w:after="0"/>
        <w:ind w:left="10488" w:right="0" w:hanging="0"/>
        <w:jc w:val="center"/>
        <w:rPr>
          <w:spacing w:val="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uto" w:line="240" w:before="0" w:after="0"/>
        <w:ind w:left="1134" w:right="964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3C3C3C"/>
          <w:spacing w:val="2"/>
          <w:sz w:val="24"/>
          <w:szCs w:val="24"/>
        </w:rPr>
        <w:t xml:space="preserve">Справка-расчет субсидий на строительство (реконструкцию) животноводческих объектов для содержания крупного рогатого скота специализированных мясных пород </w:t>
      </w:r>
    </w:p>
    <w:p>
      <w:pPr>
        <w:pStyle w:val="Normal"/>
        <w:shd w:fill="FFFFFF"/>
        <w:bidi w:val="0"/>
        <w:spacing w:lineRule="auto" w:line="240" w:before="0" w:after="0"/>
        <w:ind w:left="0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3C3C3C"/>
          <w:spacing w:val="2"/>
          <w:sz w:val="24"/>
          <w:szCs w:val="24"/>
        </w:rPr>
        <w:t>за _______________ квартал ________ года</w:t>
      </w:r>
    </w:p>
    <w:p>
      <w:pPr>
        <w:pStyle w:val="Normal"/>
        <w:shd w:fill="FFFFFF"/>
        <w:bidi w:val="0"/>
        <w:spacing w:lineRule="auto" w:line="240" w:before="0" w:after="0"/>
        <w:ind w:left="0" w:right="0" w:hanging="0"/>
        <w:jc w:val="right"/>
        <w:textAlignment w:val="baseline"/>
        <w:rPr>
          <w:rFonts w:ascii="Times New Roman" w:hAnsi="Times New Roman" w:cs="Arial"/>
          <w:color w:val="2D2D2D"/>
          <w:spacing w:val="2"/>
          <w:sz w:val="24"/>
          <w:szCs w:val="24"/>
        </w:rPr>
      </w:pPr>
      <w:r>
        <w:rPr>
          <w:rFonts w:cs="Arial" w:ascii="Times New Roman" w:hAnsi="Times New Roman"/>
          <w:color w:val="2D2D2D"/>
          <w:spacing w:val="2"/>
          <w:sz w:val="24"/>
          <w:szCs w:val="24"/>
        </w:rPr>
      </w:r>
    </w:p>
    <w:tbl>
      <w:tblPr>
        <w:tblW w:w="15585" w:type="dxa"/>
        <w:jc w:val="left"/>
        <w:tblInd w:w="0" w:type="dxa"/>
        <w:tblCellMar>
          <w:top w:w="0" w:type="dxa"/>
          <w:left w:w="94" w:type="dxa"/>
          <w:bottom w:w="0" w:type="dxa"/>
          <w:right w:w="94" w:type="dxa"/>
        </w:tblCellMar>
      </w:tblPr>
      <w:tblGrid>
        <w:gridCol w:w="1500"/>
        <w:gridCol w:w="2893"/>
        <w:gridCol w:w="890"/>
        <w:gridCol w:w="2075"/>
        <w:gridCol w:w="1139"/>
        <w:gridCol w:w="1272"/>
        <w:gridCol w:w="1141"/>
        <w:gridCol w:w="2410"/>
        <w:gridCol w:w="2265"/>
      </w:tblGrid>
      <w:tr>
        <w:trPr/>
        <w:tc>
          <w:tcPr>
            <w:tcW w:w="15585" w:type="dxa"/>
            <w:gridSpan w:val="9"/>
            <w:tcBorders>
              <w:top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(наименование получателя, муниципального района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(городского округа) Нижегородской области)</w:t>
            </w:r>
          </w:p>
        </w:tc>
      </w:tr>
      <w:tr>
        <w:trPr/>
        <w:tc>
          <w:tcPr>
            <w:tcW w:w="150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Наименование получателя</w:t>
            </w:r>
          </w:p>
        </w:tc>
        <w:tc>
          <w:tcPr>
            <w:tcW w:w="2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Маточное поголовье скота мясного направления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Вид проекта</w:t>
            </w:r>
          </w:p>
        </w:tc>
        <w:tc>
          <w:tcPr>
            <w:tcW w:w="20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Сметная стоимость строительства (реконструкции)&lt;*&gt;, рублей</w:t>
            </w: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Проектная мощность, голов</w:t>
            </w: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Размер субсидии на ското-место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Сумма затрат согласно формам КС-2 и КС-3&lt;**&gt;, рублей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Размер причитающейся субсидии после ввода объекта в эксплуатацию в размере 50% от гр. 7 x гр. 8, но не более 25% от минимального размера, предусмотренного гр. 6 либо гр. 9, при условиях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гр. 4 &gt; или = 0 (для получателей, имеющих маточное поголовье мясного скота на 1 января текущего года)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Размер причитающейся субсидии после представления акта комиссии Управления, рублей, в размере 50% от гр. 7 x гр. 8, но не более 25% от минимального размера, предусмотренного гр. 6 либо гр. 9, при условиях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гр. 4 &gt; или = 0 (для получателей, имеющих маточное поголовье мясного скота на 1 января текущего года)</w:t>
            </w:r>
          </w:p>
        </w:tc>
      </w:tr>
    </w:tbl>
    <w:tbl>
      <w:tblPr>
        <w:tblW w:w="15585" w:type="dxa"/>
        <w:jc w:val="left"/>
        <w:tblInd w:w="0" w:type="dxa"/>
        <w:tblCellMar>
          <w:top w:w="0" w:type="dxa"/>
          <w:left w:w="94" w:type="dxa"/>
          <w:bottom w:w="0" w:type="dxa"/>
          <w:right w:w="94" w:type="dxa"/>
        </w:tblCellMar>
      </w:tblPr>
      <w:tblGrid>
        <w:gridCol w:w="1500"/>
        <w:gridCol w:w="1153"/>
        <w:gridCol w:w="1050"/>
        <w:gridCol w:w="688"/>
        <w:gridCol w:w="891"/>
        <w:gridCol w:w="2074"/>
        <w:gridCol w:w="1139"/>
        <w:gridCol w:w="1272"/>
        <w:gridCol w:w="1142"/>
        <w:gridCol w:w="2411"/>
        <w:gridCol w:w="2265"/>
      </w:tblGrid>
      <w:tr>
        <w:trPr/>
        <w:tc>
          <w:tcPr>
            <w:tcW w:w="15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по состоянию на 1 января текущего года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на отчетную дату</w:t>
            </w:r>
          </w:p>
        </w:tc>
        <w:tc>
          <w:tcPr>
            <w:tcW w:w="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(+/-), голов (гр. 4 = гр. 3 - гр. 2)</w:t>
            </w:r>
          </w:p>
        </w:tc>
        <w:tc>
          <w:tcPr>
            <w:tcW w:w="89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20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3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1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1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5</w:t>
            </w:r>
          </w:p>
        </w:tc>
        <w:tc>
          <w:tcPr>
            <w:tcW w:w="2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7</w:t>
            </w: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11</w:t>
            </w:r>
          </w:p>
        </w:tc>
      </w:tr>
      <w:tr>
        <w:trPr/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2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Итого</w:t>
            </w:r>
          </w:p>
        </w:tc>
        <w:tc>
          <w:tcPr>
            <w:tcW w:w="1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2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hd w:fill="FFFFFF"/>
        <w:bidi w:val="0"/>
        <w:spacing w:lineRule="auto" w:line="240" w:before="0" w:after="0"/>
        <w:ind w:left="0" w:right="0" w:hanging="0"/>
        <w:jc w:val="right"/>
        <w:textAlignment w:val="baseline"/>
        <w:rPr>
          <w:rFonts w:ascii="Times New Roman" w:hAnsi="Times New Roman" w:cs="Arial"/>
          <w:color w:val="2D2D2D"/>
          <w:spacing w:val="2"/>
          <w:sz w:val="24"/>
          <w:szCs w:val="24"/>
        </w:rPr>
      </w:pPr>
      <w:r>
        <w:rPr>
          <w:rFonts w:cs="Arial" w:ascii="Times New Roman" w:hAnsi="Times New Roman"/>
          <w:color w:val="2D2D2D"/>
          <w:spacing w:val="2"/>
          <w:sz w:val="24"/>
          <w:szCs w:val="24"/>
        </w:rPr>
      </w:r>
    </w:p>
    <w:p>
      <w:pPr>
        <w:pStyle w:val="Normal"/>
        <w:tabs>
          <w:tab w:val="clear" w:pos="709"/>
        </w:tabs>
        <w:bidi w:val="0"/>
        <w:spacing w:lineRule="auto" w:line="240" w:before="0" w:after="0"/>
        <w:ind w:left="0" w:right="0" w:hanging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eastAsia="Times New Roman" w:ascii="Times New Roman" w:hAnsi="Times New Roman"/>
          <w:color w:val="2D2D2D"/>
          <w:sz w:val="24"/>
          <w:szCs w:val="24"/>
        </w:rPr>
        <w:t>&lt;*&gt; - Для получателей - плательщиков налога на добавленную стоимость (далее - НДС) - сметная стоимость строительства (реконструкции) без учета НДС, для получателей, имеющих освобождение от уплаты НДС, - сметная стоимость строительства (реконструкции).</w:t>
      </w:r>
    </w:p>
    <w:p>
      <w:pPr>
        <w:pStyle w:val="Normal"/>
        <w:shd w:fill="FFFFFF"/>
        <w:tabs>
          <w:tab w:val="clear" w:pos="709"/>
        </w:tabs>
        <w:bidi w:val="0"/>
        <w:spacing w:lineRule="auto" w:line="240" w:before="0" w:after="0"/>
        <w:ind w:left="0" w:right="0" w:hanging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eastAsia="Times New Roman" w:ascii="Times New Roman" w:hAnsi="Times New Roman"/>
          <w:color w:val="2D2D2D"/>
          <w:sz w:val="24"/>
          <w:szCs w:val="24"/>
        </w:rPr>
        <w:t>&lt;**&gt; - Для получателей - плательщиков НДС - сумма затрат согласно формам КС-2 и КС-3 без НДС, для получателей, имеющих освобождение от уплаты НДС, - сумма затрат согласно формам КС-2 и КС-3.</w:t>
      </w:r>
    </w:p>
    <w:p>
      <w:pPr>
        <w:pStyle w:val="Normal"/>
        <w:shd w:fill="FFFFFF"/>
        <w:tabs>
          <w:tab w:val="clear" w:pos="709"/>
        </w:tabs>
        <w:bidi w:val="0"/>
        <w:spacing w:lineRule="auto" w:line="240" w:before="0" w:after="0"/>
        <w:ind w:left="0" w:right="0" w:hanging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eastAsia="Times New Roman" w:ascii="Times New Roman" w:hAnsi="Times New Roman"/>
          <w:color w:val="2D2D2D"/>
          <w:sz w:val="24"/>
          <w:szCs w:val="24"/>
        </w:rPr>
        <w:t>Настоящим подтверждаем, что у получателя отсутствует просроченная задолженность по возврату в соответствующий бюджет бюджетной системы Российской Федерации субсидий, бюджетных инвестиций, предоставленных в том числе в соответствии с иными правовыми актами; получатель субсидий не находится в процессе реорганизации, ликвидации, банкротства и не имеет ограничений на осуществление хозяйственной деятельности; получатель субсидии 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представления информации при проведении финансовых операций (офшорные зоны) в отношении таких юридических лиц, в совокупности превышает 50 процентов; в отношении получателя не выявлены факты нарушения условий, установленных при получении бюджетных средств, и их нецелевого использования.</w:t>
      </w:r>
    </w:p>
    <w:p>
      <w:pPr>
        <w:pStyle w:val="Normal"/>
        <w:shd w:fill="FFFFFF"/>
        <w:tabs>
          <w:tab w:val="clear" w:pos="709"/>
        </w:tabs>
        <w:bidi w:val="0"/>
        <w:spacing w:lineRule="auto" w:line="240" w:before="0" w:after="0"/>
        <w:ind w:left="0" w:right="0" w:hanging="0"/>
        <w:textAlignment w:val="baseline"/>
        <w:rPr>
          <w:rFonts w:eastAsia="Times New Roman"/>
          <w:color w:val="2D2D2D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hd w:fill="FFFFFF"/>
        <w:tabs>
          <w:tab w:val="clear" w:pos="709"/>
          <w:tab w:val="left" w:pos="3225" w:leader="none"/>
          <w:tab w:val="left" w:pos="3855" w:leader="none"/>
          <w:tab w:val="left" w:pos="6120" w:leader="none"/>
        </w:tabs>
        <w:bidi w:val="0"/>
        <w:spacing w:lineRule="auto" w:line="240" w:before="0" w:after="0"/>
        <w:ind w:left="0" w:right="0" w:hanging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eastAsia="Times New Roman" w:ascii="Times New Roman" w:hAnsi="Times New Roman"/>
          <w:color w:val="2D2D2D"/>
          <w:sz w:val="24"/>
          <w:szCs w:val="24"/>
        </w:rPr>
        <w:t xml:space="preserve">Руководитель получателя </w:t>
        <w:tab/>
        <w:t>_______________________ (______________________)</w:t>
      </w:r>
      <w:r>
        <w:rPr>
          <w:rFonts w:ascii="Times New Roman" w:hAnsi="Times New Roman"/>
          <w:sz w:val="24"/>
          <w:szCs w:val="24"/>
        </w:rPr>
        <w:br/>
        <w:tab/>
        <w:tab/>
      </w:r>
      <w:r>
        <w:rPr>
          <w:rFonts w:eastAsia="Times New Roman" w:ascii="Times New Roman" w:hAnsi="Times New Roman"/>
          <w:color w:val="2D2D2D"/>
          <w:sz w:val="24"/>
          <w:szCs w:val="24"/>
        </w:rPr>
        <w:t xml:space="preserve">подпись </w:t>
        <w:tab/>
        <w:t>расшифровка подписи</w:t>
      </w:r>
    </w:p>
    <w:p>
      <w:pPr>
        <w:pStyle w:val="Normal"/>
        <w:shd w:fill="FFFFFF"/>
        <w:tabs>
          <w:tab w:val="clear" w:pos="709"/>
          <w:tab w:val="left" w:pos="3225" w:leader="none"/>
          <w:tab w:val="left" w:pos="3855" w:leader="none"/>
          <w:tab w:val="left" w:pos="6120" w:leader="none"/>
        </w:tabs>
        <w:bidi w:val="0"/>
        <w:spacing w:lineRule="auto" w:line="240" w:before="0" w:after="0"/>
        <w:ind w:left="0" w:right="0" w:hanging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eastAsia="Times New Roman" w:ascii="Times New Roman" w:hAnsi="Times New Roman"/>
          <w:color w:val="2D2D2D"/>
          <w:sz w:val="24"/>
          <w:szCs w:val="24"/>
        </w:rPr>
        <w:t>Главный бухгалтер получателя_______________________ (______________________)</w:t>
        <w:br/>
        <w:tab/>
        <w:tab/>
        <w:t xml:space="preserve">подпись </w:t>
        <w:tab/>
        <w:t>расшифровка подписи</w:t>
        <w:br/>
        <w:t>М.П. (при наличии печати)</w:t>
      </w:r>
    </w:p>
    <w:p>
      <w:pPr>
        <w:sectPr>
          <w:headerReference w:type="default" r:id="rId11"/>
          <w:type w:val="nextPage"/>
          <w:pgSz w:orient="landscape" w:w="16838" w:h="11906"/>
          <w:pgMar w:left="600" w:right="593" w:header="1134" w:top="1648" w:footer="0" w:bottom="572" w:gutter="0"/>
          <w:pgNumType w:fmt="decimal"/>
          <w:formProt w:val="false"/>
          <w:textDirection w:val="lrTb"/>
        </w:sectPr>
        <w:pStyle w:val="Normal"/>
        <w:shd w:fill="FFFFFF"/>
        <w:tabs>
          <w:tab w:val="clear" w:pos="709"/>
          <w:tab w:val="left" w:pos="3225" w:leader="none"/>
          <w:tab w:val="left" w:pos="3855" w:leader="none"/>
          <w:tab w:val="left" w:pos="6120" w:leader="none"/>
        </w:tabs>
        <w:bidi w:val="0"/>
        <w:spacing w:lineRule="auto" w:line="240" w:before="0" w:after="0"/>
        <w:ind w:left="0" w:right="0" w:hanging="0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eastAsia="Times New Roman" w:cs="Arial" w:ascii="Times New Roman" w:hAnsi="Times New Roman"/>
          <w:color w:val="2D2D2D"/>
          <w:spacing w:val="2"/>
          <w:sz w:val="24"/>
          <w:szCs w:val="24"/>
        </w:rPr>
        <w:t>"___" ___________________ 20___ год</w:t>
      </w:r>
    </w:p>
    <w:p>
      <w:pPr>
        <w:pStyle w:val="Normal"/>
        <w:shd w:fill="FFFFFF"/>
        <w:suppressAutoHyphens w:val="true"/>
        <w:overflowPunct w:val="false"/>
        <w:bidi w:val="0"/>
        <w:spacing w:lineRule="auto" w:line="240" w:before="0" w:after="0"/>
        <w:ind w:left="10488" w:right="0" w:hanging="0"/>
        <w:jc w:val="center"/>
        <w:textAlignment w:val="baseline"/>
        <w:rPr/>
      </w:pPr>
      <w:r>
        <w:rPr>
          <w:rFonts w:ascii="Times New Roman" w:hAnsi="Times New Roman"/>
          <w:color w:val="2D2D2D"/>
          <w:spacing w:val="2"/>
          <w:sz w:val="24"/>
          <w:szCs w:val="24"/>
        </w:rPr>
        <w:t xml:space="preserve">Приложение </w:t>
      </w:r>
      <w:r>
        <w:rPr>
          <w:rFonts w:eastAsia="Times New Roman" w:cs="Times New Roman" w:ascii="Times New Roman" w:hAnsi="Times New Roman"/>
          <w:color w:val="2D2D2D"/>
          <w:spacing w:val="2"/>
          <w:kern w:val="0"/>
          <w:sz w:val="24"/>
          <w:szCs w:val="24"/>
          <w:lang w:val="ru-RU" w:eastAsia="zh-CN" w:bidi="ar-SA"/>
        </w:rPr>
        <w:t>2</w:t>
      </w:r>
    </w:p>
    <w:p>
      <w:pPr>
        <w:pStyle w:val="ConsPlusNormal"/>
        <w:shd w:fill="FFFFFF"/>
        <w:suppressAutoHyphens w:val="true"/>
        <w:overflowPunct w:val="false"/>
        <w:bidi w:val="0"/>
        <w:spacing w:lineRule="auto" w:line="240" w:before="0" w:after="0"/>
        <w:ind w:left="10488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Порядку предоставления субсидий на</w:t>
      </w:r>
      <w:r>
        <w:rPr>
          <w:rFonts w:ascii="Times New Roman" w:hAnsi="Times New Roman"/>
          <w:bCs/>
          <w:spacing w:val="2"/>
          <w:kern w:val="2"/>
          <w:sz w:val="24"/>
          <w:szCs w:val="24"/>
        </w:rPr>
        <w:t xml:space="preserve"> возмещение части затрат сельскохозяйственных товаропроизводителей </w:t>
      </w:r>
      <w:r>
        <w:rPr>
          <w:rFonts w:ascii="Times New Roman" w:hAnsi="Times New Roman"/>
          <w:spacing w:val="2"/>
          <w:sz w:val="24"/>
          <w:szCs w:val="24"/>
        </w:rPr>
        <w:t>на развитие мясного скотоводства</w:t>
      </w:r>
    </w:p>
    <w:p>
      <w:pPr>
        <w:pStyle w:val="ConsPlusNormal"/>
        <w:shd w:fill="FFFFFF"/>
        <w:suppressAutoHyphens w:val="true"/>
        <w:overflowPunct w:val="false"/>
        <w:bidi w:val="0"/>
        <w:spacing w:lineRule="auto" w:line="240" w:before="0" w:after="0"/>
        <w:ind w:left="10488" w:right="0" w:hanging="0"/>
        <w:jc w:val="center"/>
        <w:textAlignment w:val="baseline"/>
        <w:rPr>
          <w:spacing w:val="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3C3C3C"/>
          <w:spacing w:val="2"/>
          <w:sz w:val="24"/>
          <w:szCs w:val="24"/>
        </w:rPr>
        <w:t>Справка-расчет субсидии на содержание маточного поголовья мясного скота</w:t>
      </w:r>
    </w:p>
    <w:p>
      <w:pPr>
        <w:pStyle w:val="Normal"/>
        <w:shd w:fill="FFFFFF"/>
        <w:bidi w:val="0"/>
        <w:spacing w:lineRule="auto" w:line="240" w:before="0" w:after="0"/>
        <w:ind w:left="0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2D2D2D"/>
          <w:spacing w:val="2"/>
          <w:sz w:val="24"/>
          <w:szCs w:val="24"/>
        </w:rPr>
        <w:t>за _______________ квартал ________ года</w:t>
      </w:r>
    </w:p>
    <w:p>
      <w:pPr>
        <w:pStyle w:val="Normal"/>
        <w:shd w:fill="FFFFFF"/>
        <w:bidi w:val="0"/>
        <w:spacing w:lineRule="auto" w:line="240" w:before="0" w:after="0"/>
        <w:ind w:left="0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2D2D2D"/>
          <w:spacing w:val="2"/>
          <w:sz w:val="24"/>
          <w:szCs w:val="24"/>
        </w:rPr>
        <w:t>_________________________________________</w:t>
      </w:r>
    </w:p>
    <w:p>
      <w:pPr>
        <w:pStyle w:val="Normal"/>
        <w:shd w:fill="FFFFFF"/>
        <w:bidi w:val="0"/>
        <w:spacing w:lineRule="auto" w:line="240" w:before="0" w:after="0"/>
        <w:ind w:left="0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2D2D2D"/>
          <w:spacing w:val="2"/>
          <w:sz w:val="24"/>
          <w:szCs w:val="24"/>
        </w:rPr>
        <w:t>(наименование получателя, муниципального района</w:t>
      </w:r>
    </w:p>
    <w:p>
      <w:pPr>
        <w:pStyle w:val="Normal"/>
        <w:shd w:fill="FFFFFF"/>
        <w:bidi w:val="0"/>
        <w:spacing w:lineRule="auto" w:line="240" w:before="0" w:after="0"/>
        <w:ind w:left="0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2D2D2D"/>
          <w:spacing w:val="2"/>
          <w:sz w:val="24"/>
          <w:szCs w:val="24"/>
        </w:rPr>
        <w:t>(городского округа) Нижегородской области)</w:t>
      </w:r>
    </w:p>
    <w:tbl>
      <w:tblPr>
        <w:tblW w:w="15585" w:type="dxa"/>
        <w:jc w:val="left"/>
        <w:tblInd w:w="0" w:type="dxa"/>
        <w:tblCellMar>
          <w:top w:w="0" w:type="dxa"/>
          <w:left w:w="110" w:type="dxa"/>
          <w:bottom w:w="0" w:type="dxa"/>
          <w:right w:w="110" w:type="dxa"/>
        </w:tblCellMar>
      </w:tblPr>
      <w:tblGrid>
        <w:gridCol w:w="2401"/>
        <w:gridCol w:w="3269"/>
        <w:gridCol w:w="1755"/>
        <w:gridCol w:w="2445"/>
        <w:gridCol w:w="5715"/>
      </w:tblGrid>
      <w:tr>
        <w:trPr/>
        <w:tc>
          <w:tcPr>
            <w:tcW w:w="24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Наименование получателя</w:t>
            </w:r>
          </w:p>
        </w:tc>
        <w:tc>
          <w:tcPr>
            <w:tcW w:w="74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Маточное поголовье скота мясного направления</w:t>
            </w:r>
          </w:p>
        </w:tc>
        <w:tc>
          <w:tcPr>
            <w:tcW w:w="571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Размер причитающейся субсидии, руб. (гр. 5 = гр. 3 x 500 рублей) при условии гр. 3 &gt; или = гр. 2</w:t>
            </w:r>
          </w:p>
        </w:tc>
      </w:tr>
      <w:tr>
        <w:trPr/>
        <w:tc>
          <w:tcPr>
            <w:tcW w:w="24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326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по состоянию на 1 января 201_ (отчетного) года</w:t>
            </w:r>
          </w:p>
        </w:tc>
        <w:tc>
          <w:tcPr>
            <w:tcW w:w="17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на отчетную дату</w:t>
            </w:r>
          </w:p>
        </w:tc>
        <w:tc>
          <w:tcPr>
            <w:tcW w:w="24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 xml:space="preserve">(+/-), голов 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(гр. 4 = гр. 3 - гр. 2)</w:t>
            </w:r>
          </w:p>
        </w:tc>
        <w:tc>
          <w:tcPr>
            <w:tcW w:w="57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24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326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17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24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7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5</w:t>
            </w:r>
          </w:p>
        </w:tc>
      </w:tr>
      <w:tr>
        <w:trPr/>
        <w:tc>
          <w:tcPr>
            <w:tcW w:w="24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326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57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24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Итого</w:t>
            </w:r>
          </w:p>
        </w:tc>
        <w:tc>
          <w:tcPr>
            <w:tcW w:w="326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57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hd w:fill="FFFFFF"/>
        <w:bidi w:val="0"/>
        <w:spacing w:lineRule="auto" w:line="240" w:before="0" w:after="0"/>
        <w:ind w:left="0" w:right="0" w:hanging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2D2D2D"/>
          <w:spacing w:val="2"/>
          <w:sz w:val="24"/>
          <w:szCs w:val="24"/>
        </w:rPr>
        <w:t>Настоящим подтверждаем, что у получателя отсутствует просроченная задолженность по возврату в соответствующий бюджет бюджетной системы Российской Федерации субсидий, бюджетных инвестиций, предоставленных в том числе в соответствии с иными правовыми актами; получатель субсидий не находится в процессе реорганизации, ликвидации, банкротства и не имеет ограничений на осуществление хозяйственной деятельности; получатель субсидии 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представления информации при проведении финансовых операций (офшорные зоны) в отношении таких юридических лиц, в совокупности превышает 50 процентов; в отношении получателя не выявлены факты нарушения условий, установленных при получении бюджетных средств, и их нецелевого использования.</w:t>
      </w:r>
      <w:r>
        <w:rPr>
          <w:rFonts w:ascii="Times New Roman" w:hAnsi="Times New Roman"/>
          <w:sz w:val="24"/>
          <w:szCs w:val="24"/>
        </w:rPr>
        <w:br/>
      </w:r>
    </w:p>
    <w:p>
      <w:pPr>
        <w:pStyle w:val="Normal"/>
        <w:shd w:fill="FFFFFF"/>
        <w:tabs>
          <w:tab w:val="clear" w:pos="709"/>
          <w:tab w:val="left" w:pos="3225" w:leader="none"/>
          <w:tab w:val="left" w:pos="3855" w:leader="none"/>
          <w:tab w:val="left" w:pos="6120" w:leader="none"/>
        </w:tabs>
        <w:bidi w:val="0"/>
        <w:spacing w:lineRule="auto" w:line="240" w:before="0" w:after="0"/>
        <w:ind w:left="0" w:right="0" w:hanging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eastAsia="Times New Roman" w:ascii="Times New Roman" w:hAnsi="Times New Roman"/>
          <w:color w:val="2D2D2D"/>
          <w:sz w:val="24"/>
          <w:szCs w:val="24"/>
        </w:rPr>
        <w:t xml:space="preserve">Руководитель получателя </w:t>
        <w:tab/>
        <w:t>_______________________ (______________________)</w:t>
      </w:r>
      <w:r>
        <w:rPr>
          <w:rFonts w:ascii="Times New Roman" w:hAnsi="Times New Roman"/>
          <w:sz w:val="24"/>
          <w:szCs w:val="24"/>
        </w:rPr>
        <w:br/>
        <w:tab/>
        <w:tab/>
      </w:r>
      <w:r>
        <w:rPr>
          <w:rFonts w:eastAsia="Times New Roman" w:ascii="Times New Roman" w:hAnsi="Times New Roman"/>
          <w:color w:val="2D2D2D"/>
          <w:sz w:val="24"/>
          <w:szCs w:val="24"/>
        </w:rPr>
        <w:t xml:space="preserve">подпись </w:t>
        <w:tab/>
        <w:t>расшифровка подписи</w:t>
      </w:r>
    </w:p>
    <w:p>
      <w:pPr>
        <w:pStyle w:val="Normal"/>
        <w:shd w:fill="FFFFFF"/>
        <w:tabs>
          <w:tab w:val="clear" w:pos="709"/>
          <w:tab w:val="left" w:pos="3225" w:leader="none"/>
          <w:tab w:val="left" w:pos="3855" w:leader="none"/>
          <w:tab w:val="left" w:pos="6120" w:leader="none"/>
        </w:tabs>
        <w:bidi w:val="0"/>
        <w:spacing w:lineRule="auto" w:line="240" w:before="0" w:after="0"/>
        <w:ind w:left="0" w:right="0" w:hanging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eastAsia="Times New Roman" w:ascii="Times New Roman" w:hAnsi="Times New Roman"/>
          <w:color w:val="2D2D2D"/>
          <w:sz w:val="24"/>
          <w:szCs w:val="24"/>
        </w:rPr>
        <w:t>Главный бухгалтер получателя_______________________ (______________________)</w:t>
        <w:br/>
        <w:tab/>
        <w:tab/>
        <w:t xml:space="preserve">подпись </w:t>
        <w:tab/>
        <w:t>расшифровка подписи</w:t>
        <w:br/>
        <w:t>М.П. (при наличии печати)</w:t>
      </w:r>
    </w:p>
    <w:p>
      <w:pPr>
        <w:pStyle w:val="Normal"/>
        <w:shd w:fill="FFFFFF"/>
        <w:tabs>
          <w:tab w:val="clear" w:pos="709"/>
          <w:tab w:val="left" w:pos="3225" w:leader="none"/>
          <w:tab w:val="left" w:pos="3855" w:leader="none"/>
          <w:tab w:val="left" w:pos="6120" w:leader="none"/>
        </w:tabs>
        <w:bidi w:val="0"/>
        <w:spacing w:lineRule="auto" w:line="240" w:before="0" w:after="0"/>
        <w:ind w:left="0" w:right="0" w:hanging="0"/>
        <w:jc w:val="both"/>
        <w:textAlignment w:val="baseline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eastAsia="Times New Roman" w:cs="Arial" w:ascii="Times New Roman" w:hAnsi="Times New Roman"/>
          <w:color w:val="2D2D2D"/>
          <w:spacing w:val="2"/>
          <w:sz w:val="24"/>
          <w:szCs w:val="24"/>
        </w:rPr>
        <w:t>"___" ___________________ 20___ год</w:t>
      </w:r>
    </w:p>
    <w:sectPr>
      <w:headerReference w:type="default" r:id="rId12"/>
      <w:type w:val="nextPage"/>
      <w:pgSz w:orient="landscape" w:w="16838" w:h="11906"/>
      <w:pgMar w:left="600" w:right="593" w:header="1134" w:top="1648" w:footer="0" w:bottom="572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9</w:t>
    </w:r>
    <w:r>
      <w:rPr/>
      <w:fldChar w:fldCharType="end"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12</w:t>
    </w:r>
    <w:r>
      <w:rPr/>
      <w:fldChar w:fldCharType="end"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12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Style12">
    <w:name w:val="Интернет-ссылка"/>
    <w:rPr>
      <w:color w:val="000080"/>
      <w:u w:val="single"/>
      <w:lang w:val="zxx" w:eastAsia="zxx" w:bidi="zxx"/>
    </w:rPr>
  </w:style>
  <w:style w:type="paragraph" w:styleId="Style13" w:customStyle="1">
    <w:name w:val="Заголовок"/>
    <w:basedOn w:val="Normal"/>
    <w:next w:val="Style14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4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5">
    <w:name w:val="List"/>
    <w:basedOn w:val="Style14"/>
    <w:rsid w:val="0055234d"/>
    <w:pPr/>
    <w:rPr>
      <w:rFonts w:cs="Mangal"/>
    </w:rPr>
  </w:style>
  <w:style w:type="paragraph" w:styleId="Style16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8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9">
    <w:name w:val="Верхний и нижний колонтитулы"/>
    <w:basedOn w:val="Normal"/>
    <w:qFormat/>
    <w:pPr/>
    <w:rPr/>
  </w:style>
  <w:style w:type="paragraph" w:styleId="Style20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1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2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3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ConsPlusTitle">
    <w:name w:val="ConsPlusTitle"/>
    <w:qFormat/>
    <w:pPr>
      <w:widowControl w:val="false"/>
      <w:bidi w:val="0"/>
      <w:jc w:val="left"/>
      <w:textAlignment w:val="auto"/>
    </w:pPr>
    <w:rPr>
      <w:rFonts w:ascii="Arial" w:hAnsi="Arial" w:eastAsia="Courier New" w:cs="Arial"/>
      <w:b/>
      <w:bCs/>
      <w:color w:val="auto"/>
      <w:kern w:val="2"/>
      <w:sz w:val="24"/>
      <w:szCs w:val="24"/>
      <w:lang w:val="ru-RU" w:eastAsia="ru-RU" w:bidi="ar-SA"/>
    </w:rPr>
  </w:style>
  <w:style w:type="paragraph" w:styleId="ConsPlusNonformat">
    <w:name w:val="ConsPlusNonformat"/>
    <w:qFormat/>
    <w:pPr>
      <w:widowControl w:val="false"/>
      <w:bidi w:val="0"/>
      <w:jc w:val="left"/>
      <w:textAlignment w:val="auto"/>
    </w:pPr>
    <w:rPr>
      <w:rFonts w:ascii="Courier New" w:hAnsi="Courier New" w:eastAsia="Courier New" w:cs="Courier New"/>
      <w:color w:val="auto"/>
      <w:kern w:val="2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yperlink" Target="http://docs.cntd.ru/document/901714433" TargetMode="External"/><Relationship Id="rId5" Type="http://schemas.openxmlformats.org/officeDocument/2006/relationships/hyperlink" Target="http://docs.cntd.ru/document/944924625" TargetMode="External"/><Relationship Id="rId6" Type="http://schemas.openxmlformats.org/officeDocument/2006/relationships/hyperlink" Target="http://docs.cntd.ru/document/901748877" TargetMode="External"/><Relationship Id="rId7" Type="http://schemas.openxmlformats.org/officeDocument/2006/relationships/hyperlink" Target="http://docs.cntd.ru/document/901919338" TargetMode="External"/><Relationship Id="rId8" Type="http://schemas.openxmlformats.org/officeDocument/2006/relationships/hyperlink" Target="http://docs.cntd.ru/document/901714433" TargetMode="External"/><Relationship Id="rId9" Type="http://schemas.openxmlformats.org/officeDocument/2006/relationships/hyperlink" Target="http://docs.cntd.ru/document/901919338" TargetMode="External"/><Relationship Id="rId10" Type="http://schemas.openxmlformats.org/officeDocument/2006/relationships/header" Target="header2.xml"/><Relationship Id="rId11" Type="http://schemas.openxmlformats.org/officeDocument/2006/relationships/header" Target="header3.xml"/><Relationship Id="rId12" Type="http://schemas.openxmlformats.org/officeDocument/2006/relationships/header" Target="header4.xml"/><Relationship Id="rId13" Type="http://schemas.openxmlformats.org/officeDocument/2006/relationships/numbering" Target="numbering.xml"/><Relationship Id="rId14" Type="http://schemas.openxmlformats.org/officeDocument/2006/relationships/fontTable" Target="fontTable.xml"/><Relationship Id="rId15" Type="http://schemas.openxmlformats.org/officeDocument/2006/relationships/settings" Target="settings.xml"/><Relationship Id="rId1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Application>LibreOffice/6.3.3.2$Windows_x86 LibreOffice_project/a64200df03143b798afd1ec74a12ab50359878ed</Application>
  <Pages>12</Pages>
  <Words>3419</Words>
  <Characters>25246</Characters>
  <CharactersWithSpaces>28516</CharactersWithSpaces>
  <Paragraphs>180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2020-01-17T10:07:31Z</cp:lastPrinted>
  <dcterms:modified xsi:type="dcterms:W3CDTF">2020-01-17T10:07:57Z</dcterms:modified>
  <cp:revision>85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