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6.xml" ContentType="application/vnd.openxmlformats-officedocument.wordprocessingml.header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b/>
          <w:b/>
          <w:color w:val="000000"/>
          <w:kern w:val="2"/>
          <w:sz w:val="32"/>
        </w:rPr>
      </w:pPr>
      <w:r>
        <w:rPr>
          <w:rFonts w:ascii="Times New Roman" w:hAnsi="Times New Roman"/>
          <w:b/>
          <w:color w:val="000000"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color w:val="000000"/>
          <w:spacing w:val="60"/>
          <w:sz w:val="28"/>
          <w:szCs w:val="28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rFonts w:ascii="Times New Roman" w:hAnsi="Times New Roman"/>
          <w:color w:val="000000"/>
          <w:spacing w:val="60"/>
          <w:sz w:val="28"/>
          <w:szCs w:val="28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  <w:spacing w:val="60"/>
          <w:sz w:val="28"/>
          <w:szCs w:val="28"/>
        </w:rPr>
      </w:pPr>
      <w:r>
        <w:rPr>
          <w:rFonts w:ascii="Times New Roman" w:hAnsi="Times New Roman"/>
          <w:color w:val="000000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от </w:t>
      </w:r>
      <w:r>
        <w:rPr>
          <w:rFonts w:ascii="Times New Roman" w:hAnsi="Times New Roman"/>
          <w:color w:val="000000"/>
          <w:sz w:val="28"/>
          <w:szCs w:val="28"/>
        </w:rPr>
        <w:t>16</w:t>
      </w:r>
      <w:r>
        <w:rPr>
          <w:rFonts w:ascii="Times New Roman" w:hAnsi="Times New Roman"/>
          <w:color w:val="000000"/>
          <w:sz w:val="28"/>
          <w:szCs w:val="28"/>
        </w:rPr>
        <w:t>.01.20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lang w:val="ru-RU" w:eastAsia="zh-CN" w:bidi="ar-SA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1</w:t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240" w:after="200"/>
        <w:ind w:left="1134" w:right="1134" w:hanging="0"/>
        <w:contextualSpacing/>
        <w:jc w:val="center"/>
        <w:rPr>
          <w:rFonts w:ascii="Times New Roman" w:hAnsi="Times New Roman"/>
          <w:b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 xml:space="preserve">Об утверждении Порядка </w:t>
      </w:r>
      <w:r>
        <w:rPr>
          <w:rFonts w:ascii="Times New Roman" w:hAnsi="Times New Roman"/>
          <w:b/>
          <w:bCs/>
          <w:color w:val="000000"/>
          <w:spacing w:val="2"/>
          <w:kern w:val="2"/>
          <w:sz w:val="28"/>
          <w:szCs w:val="28"/>
        </w:rPr>
        <w:t>и условиях предоставления и распределения субсидий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hd w:fill="FFFFFF"/>
        <w:bidi w:val="0"/>
        <w:spacing w:lineRule="auto" w:line="360" w:before="0" w:after="0"/>
        <w:ind w:left="0" w:right="0" w:firstLine="709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со статьей 78 Бюджетного кодекса Российской Федерации, Законом Нижегородской области от 11 ноября 2005 года N 176-З "О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производства" и постановлением Правительства Нижегородской области от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14 марта 2013 года № 148 "Об утверждении Положения о порядке и условиях предоставления и распределения субсидий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бюджетов", </w:t>
      </w:r>
      <w:r>
        <w:rPr>
          <w:rFonts w:ascii="Times New Roman" w:hAnsi="Times New Roman"/>
          <w:color w:val="000000"/>
          <w:sz w:val="28"/>
          <w:szCs w:val="28"/>
        </w:rPr>
        <w:t xml:space="preserve">администрация Шарангского </w:t>
      </w:r>
      <w:r>
        <w:rPr>
          <w:rFonts w:ascii="Times New Roman" w:hAnsi="Times New Roman"/>
          <w:color w:val="000000"/>
          <w:sz w:val="28"/>
          <w:szCs w:val="28"/>
        </w:rPr>
        <w:t>муниципального</w:t>
      </w:r>
      <w:r>
        <w:rPr>
          <w:rFonts w:ascii="Times New Roman" w:hAnsi="Times New Roman"/>
          <w:color w:val="000000"/>
          <w:sz w:val="28"/>
          <w:szCs w:val="28"/>
        </w:rPr>
        <w:t xml:space="preserve"> района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п о с т а н о в л я е т: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8"/>
          <w:szCs w:val="28"/>
        </w:rPr>
        <w:t xml:space="preserve">1. Утвердить прилагаемый Порядок и условия предоставления и 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8"/>
          <w:szCs w:val="28"/>
        </w:rPr>
        <w:t>распределения субсидий на</w:t>
      </w:r>
      <w:r>
        <w:rPr>
          <w:rFonts w:cs="Times New Roman" w:ascii="Times New Roman" w:hAnsi="Times New Roman"/>
          <w:b w:val="false"/>
          <w:bCs/>
          <w:color w:val="000000"/>
          <w:spacing w:val="2"/>
          <w:kern w:val="2"/>
          <w:sz w:val="28"/>
          <w:szCs w:val="28"/>
        </w:rPr>
        <w:t xml:space="preserve">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 Настоящее постановление вступает в силу со дня его подписания и распространяется на правоотношения, возникшие с 1 января 2020 года.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3. Контроль за исполнением настоящего постановления возложить на начальника управления сельского хозяйства Шарангского муниципального района Лежнину О.А.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/>
          <w:color w:val="000000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rFonts w:ascii="Times New Roman" w:hAnsi="Times New Roman"/>
          <w:color w:val="000000"/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Утвержден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постановлением администрации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от 16.01.2020 г. № </w:t>
      </w:r>
      <w:r>
        <w:rPr>
          <w:rFonts w:eastAsia="Times New Roman" w:cs="Arial" w:ascii="Times New Roman" w:hAnsi="Times New Roman"/>
          <w:color w:val="000000"/>
          <w:kern w:val="0"/>
          <w:sz w:val="24"/>
          <w:szCs w:val="24"/>
          <w:lang w:val="ru-RU" w:eastAsia="zh-CN" w:bidi="ar-SA"/>
        </w:rPr>
        <w:t>1</w:t>
      </w:r>
      <w:r>
        <w:rPr>
          <w:rFonts w:eastAsia="Times New Roman" w:cs="Arial" w:ascii="Times New Roman" w:hAnsi="Times New Roman"/>
          <w:color w:val="000000"/>
          <w:kern w:val="0"/>
          <w:sz w:val="24"/>
          <w:szCs w:val="24"/>
          <w:lang w:val="ru-RU" w:eastAsia="zh-CN" w:bidi="ar-SA"/>
        </w:rPr>
        <w:t>1</w:t>
      </w:r>
    </w:p>
    <w:p>
      <w:pPr>
        <w:pStyle w:val="ConsPlusNormal"/>
        <w:bidi w:val="0"/>
        <w:ind w:left="0" w:right="0" w:hanging="0"/>
        <w:jc w:val="right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1304" w:hanging="0"/>
        <w:jc w:val="center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Порядок и условия предоставления и распределения субсидий на</w:t>
      </w:r>
      <w:r>
        <w:rPr>
          <w:rFonts w:ascii="Times New Roman" w:hAnsi="Times New Roman"/>
          <w:bCs/>
          <w:color w:val="000000"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 (далее - Порядок)</w:t>
      </w:r>
    </w:p>
    <w:p>
      <w:pPr>
        <w:pStyle w:val="Normal"/>
        <w:numPr>
          <w:ilvl w:val="0"/>
          <w:numId w:val="0"/>
        </w:numPr>
        <w:shd w:fill="FFFFFF"/>
        <w:bidi w:val="0"/>
        <w:spacing w:before="340" w:after="204"/>
        <w:ind w:left="0" w:right="0" w:hanging="0"/>
        <w:jc w:val="center"/>
        <w:textAlignment w:val="baseline"/>
        <w:outlineLvl w:val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1. Общие положения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1.1. Настоящий Порядок разработан в соответствии с Законом Нижегородской области от 11 ноября 2005 г. № 176-З "О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производства" (далее - Закон).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1.2. Субсидии носят целевой характер и не могут быть использованы органами местного самоуправления на иные цели.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1.3.Главным распорядителем средств бюджета муниципального района в части субсидий из областного бюджета бюджету Шарангского муниципального района Нижегородской области, на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 </w:t>
      </w:r>
      <w:r>
        <w:rPr>
          <w:rFonts w:ascii="Times New Roman" w:hAnsi="Times New Roman"/>
          <w:color w:val="000000"/>
          <w:sz w:val="24"/>
          <w:szCs w:val="24"/>
        </w:rPr>
        <w:t>является Управление сельского хозяйства администрации Шарангского муниципального района Нижегородской области (далее - Управление).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outlineLvl w:val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 Порядок и условия предоставления субсидий</w:t>
      </w:r>
    </w:p>
    <w:p>
      <w:pPr>
        <w:pStyle w:val="Normal"/>
        <w:numPr>
          <w:ilvl w:val="0"/>
          <w:numId w:val="0"/>
        </w:numPr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outlineLvl w:val="2"/>
        <w:rPr>
          <w:spacing w:val="2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2.1. Финансовым обеспечением субсидии являются: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субсидии на возмещение части затрат на 1 килограмм реализованного и (или) отгруженного на собственную переработку молока за счет средств областного бюджета;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- субсидии на возмещение части затрат на 1 килограмм реализованного и (или) отгруженного на собственную переработку молока за счет средств федерального бюджета, выделенных бюджету Нижегородской области в соответствии с Правилами предоставления и распределения субсидий из федерального бюджета бюджетам субъектов Российской Федерации на повышение продуктивности в молочном скотоводстве, являющимися приложением 8 к Государственной программе развития сельского хозяйства и регулирования рынков сельскохозяйственной продукции, сырья и продовольствия, утвержденной постановлением Правительства Российской Федерации от 14 июля 2012 года № 717.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2.2. Право на получение субсидии из бюджета Шарангского муниципального района Нижегородской области имеют сельскохозяйственные товаропроизводители (за исключением граждан, ведущих личное подсобное хозяйство), в соответствии с перечнем, указанным в части 1 статьи 3 Федерального закона "О развитии сельского хозяйства" (далее - сельскохозяйственные товаропроизводители, получатели).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2.3. Субсидии имеют целевое назначение и предоставляются в целях возмещения части затрат (без учета налога на добавленную стоимость) сельскохозяйственных товаропроизводителей на 1 килограмм реализованного и (или) отгруженного на собственную переработку коровьего и (или) козьего молока.</w:t>
      </w:r>
      <w:r>
        <w:rPr>
          <w:rFonts w:ascii="Times New Roman" w:hAnsi="Times New Roman"/>
          <w:i/>
          <w:iCs/>
          <w:color w:val="000000"/>
          <w:spacing w:val="2"/>
          <w:sz w:val="24"/>
          <w:szCs w:val="24"/>
        </w:rPr>
        <w:t xml:space="preserve">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2.4. Условиями предоставления субсидий получателям являются: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своевременное представление отчетности о финансово-экономическом состоянии товаропроизводителей агропромышленного комплекса (далее - отчетность) в Управление сельского хозяйства администрации Шарангского муниципального района Нижегородской области (далее — Управление);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наличие поголовья коров и (или) коз на 1 число месяца обращения за получением субсидии;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недопущения снижения поголовья коров в отчетном финансовом году по отношению к уровню года, предшествующего отчетному финансовому году, за исключением получателей, которые начали хозяйственную деятельность по производству молока в текущем финансовом году, и получателей, представивших документы, подтверждающие наступление обстоятельств непреодолимой силы и (или) проведение мероприятий по оздоровлению стада от лейкоза крупного рогатого скота в отчетном финансовом году;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соблюдение сроков обращения для получения субсидии и представление полного комплекта документов в соответствии с пунктом 2.8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соответствие требованиям, установленным пунктом 2.14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заключение с Управлением соглашения о предоставлении субсидии в соответствии с типовой формой, установленной финансовым управлением администрации Шарангского муниципального района Нижегородской области (далее — соглашение);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согласие на осуществление Минсельхозпродом, Управлением и органами государственного (муниципального) финансового контроля проверок соблюдения условий, целей и порядка предоставления субсидий, предусмотренных настоящим Порядком и соглашением.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2.5. Размер субсидии рассчитывается по ставкам на один килограмм реализованного и (или) отгруженного на собственную переработку молока в физическом весе, определяемым Минсельхозпродом: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соответствующий финансовый год;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за счет средств областного бюджета.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2.6. Ставки субсидий применяются в зависимости от показателя молочной продуктивности коров и (или) коз за отчетный год с учетом следующих коэффициентов молочной продуктивности (Кмп):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молочная продуктивность до 2999 кг — 1;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молочная продуктивность от 3000 до 3999 кг — 1,1;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молочная продуктивность от 4000 до 4999 кг — 1,15;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молочная продуктивность от 5000 до 5999 кг — 1,2;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молочная продуктивность от 6000 до 6999 кг — 1,3;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молочная продуктивность от 7000 — 1,4.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Ставка субсидии, рассчитанная с учетом коэффициента молочной продуктивности, увеличивается в 1,1 раза (коэффициент Км) для получателей, увеличивших объем производства молока в соответствующем периоде текущего финансового года по отношению к соответствующему периоду отчетного финансового года не менее чем на 5%, за исключением получателей, которые начали хозяйственную деятельность по производству молока в текущем финансовом году.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Ставка субсидий, рассчитанная с учетом коэффициента Кмп, применяется дифференцированно в зависимости от показателя молочной продуктивности коров за отчетный финансовый год по отношению к уровню года, предшествующего отчетному финансовому году, с учетом следующих коэффициентов (Кмпг):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не снизившим молочную продуктивность — 1;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увеличившим молочную продуктивность — 1,05;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допустившим снижение молочной продуктивности 0,95.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Коэффициент Кмпг не применяется: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для расчета ставки субсидий получателям, которые начали хозяйственную деятельность по производству молока в отчетном финансовом году;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к правоотношениям, связанным с возмещением сельскохозяйственным товаропроизводителям части затрат, понесенных ими в связи с реализацией и (или) отгрузкой на собственную переработку молока до 1 января 2018 г.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2.7. Для сельскохозяйственных товаропроизводителей, которые увеличили поголовье дойного стада крупного рогатого скота на 31 декабря текущего финансового года к уровню поголовья дойного стада крупного рогатого скота по состоянию на 1 января текущего финансового года не менее чем на 10 голов за счет воспроизводства собственного стада и (или) за счет приобретения племенного крупного рогатого скота, объем субсидии увеличивается за счет средств областного бюджета в размере 0,1 рубля на весь объем молока, реализованного получателем в текущем году.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2.8. Сельскохозяйственные товаропроизводители, претендующие на получение субсидии, ежеквартально не позднее 10-го числа месяца, следующего за отчетным кварталом, а за 4 квартал - до 20 февраля следующего финансового года представляют в Управление:</w:t>
      </w:r>
      <w:r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pacing w:val="2"/>
          <w:sz w:val="24"/>
          <w:szCs w:val="24"/>
        </w:rPr>
        <w:t>- заявление о предоставлении субсидии по форме, утвержденной Минсельхозпродом;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справки-расчеты размера субсидии по формам согласно приложениям 1, 2 к настоящему Порядку с указанием сведений о наличии поголовья коров и (или) коз на 1 число периода, заявленного для предоставления субсидии, сведений об объемах производства молока, объемах реализованного и (или) отгруженного на собственную переработку молока, сведений о молочной продуктивности коров за отчетный финансовый год и год, предшествующий отчетному финансовому году, за исключением сельскохозяйственных товаропроизводителей, которые начали хозяйственную деятельность по производству молока в отчетном финансовом году;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реестр документов, подтверждающих факт реализации и (или) отгрузки на собственную переработку молока за период, заявленный для предоставления субсидии, по форме согласно приложению 3 к настоящему Порядку;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В случае снижения поголовья коров (коз) в соответствующем периоде текущего финансового года по отношению к соответствующему периоду отчетного финансового года, получатели представляют документы, подтверждающие обстоятельства, предусмотренные абзацем четвертым пункта 2.4 настоящего Порядка.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В целях подтверждения факта проведения мероприятий по оздоровлению стада от лейкоза крупного рогатого скота получатели представляют: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копии плана по оздоровлению стада от лейкоза (далее - план) и отчета о реализации плана, согласованные с комитетом государственного ветеринарного надзора Нижегородской области;</w:t>
      </w:r>
      <w:r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pacing w:val="2"/>
          <w:sz w:val="24"/>
          <w:szCs w:val="24"/>
        </w:rPr>
        <w:t>копию акта выбытия животных по форме согласно приложению 11 к Правилам ведения учета в племенном скотоводстве молочного и молочно-мясного направлений продуктивности, утвержденным приказом Минсельхоза России от 1 февраля 2011 г. № 25.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Копии документов представляются вместе с оригиналами для удостоверения их идентичности (о чем делается отметка лицом, осуществляющим прием документов) либо заверяются получателем в установленном порядке.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Для получения субсидии в повышенном размере, предусмотренном пунктом 2.7 настоящего Порядка, сельскохозяйственные товаропроизводители дополнительно представляют в Управление справку-расчет субсидии по форме согласно приложению 4 к настоящему Порядку в срок до 20 февраля следующего финансового года.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Сельскохозяйственные товаропроизводители несут в соответствии с действующим законодательством ответственность за достоверность представленных сведений.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2.9. Представленные получателем документы регистрируются в Управлении в день их поступления и не позднее одного рабочего дня, следующего за днем регистрации, передаются должностному лицу Управления, уполномоченному на формирование реестра на предоставление субсидий по форме, аналогичной справке-расчету субсидий (далее - реестр).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2.10. Должностное лицо Управления в течение 3 рабочих дней со дня регистрации представленных документов: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2.10.1. Запрашивает путем межведомственного информационного взаимодействия у органов государственной власти и подведомственных им организаций, в распоряжении которых находятся документы (их копии, сведения о них), содержащие информацию, указанную в пункте 2.14 настоящего Порядка, по состоянию на 1 число месяца, предшествующего месяцу, в котором планируется заключение соглашения.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Сельскохозяйственный товаропроизводитель вправе по своей инициативе приложить к заявлению документы, указанные в абзаце первом настоящего пункта.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2.10.2. Проверяет комплектность документов.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В случае представления сельскохозяйственным товаропроизводителем неполного комплекта документов, предусмотренных пунктом 2.8 настоящего Порядка, либо документов, содержащих ошибки, подчистки, приписки, зачеркнутые слова, иные исправления, а также повреждения, не позволяющие однозначно истолковать их содержание, и (или) противоречивые сведения, а также отсутствие в документах обязательных реквизитов, документы, представленные сельскохозяйственным товаропроизводителем, возвращаются сельскохозяйственному товаропроизводителю с письменным уведомлением для устранения выявленных замечаний.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Сельскохозяйственные товаропроизводители после устранения выявленных замечаний имеют право повторно обратиться в Управление в сроки, установленные пунктом 2.8 настоящего Порядка.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2.11. Не позднее одного рабочего дня после получения Управлением документов, содержащих информацию, указанную в пункте 2.14 настоящего Порядка, по состоянию на 1 число месяца, предшествующего месяцу, в котором планируется заключение соглашения, должностное лицо Управления: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проверяет соответствие сельскохозяйственного товаропроизводителя условиям, установленным абзацами вторым-пятым пункта 2.4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формирует реестры;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уведомляет сельскохозяйственного товаропроизводителя о включении его в реестр (об отказе во включении в реестр).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При принятии решения о включении сельскохозяйственного товаропроизводителя в реестр должностное лицо Управления уведомляет его по телефону о принятом решении.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В случае отказа во включении сельскохозяйственного товаропроизводителя в реестр Управлением в течение 2 рабочих дней со дня получения документов, содержащих информацию, указанную в пункте 2.14 настоящего Порядка, сельскохозяйственному товаропроизводителю направляется письменное уведомление с указанием причины отказа.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2.12. Основаниями для отказа во включении сельскохозяйственного товаропроизводителя в реестр являются следующие обстоятельства: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несоответствия условиям, установленным абзацами вторым - седьмым пункта 2.4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недостоверность представленной информации.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2.13. Реестр, сформированный Управлением, направляется в Минсельхозпрод не позднее рабочего дня, следующего за днем формирования реестра (не позднее 20 числа месяца, следующего за отчетным кварталом, а за 4 квартал - до 25 февраля следующего финансового года).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Управление несет ответственность за достоверность представленных в Минсельхозпрод реестрах.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2.14. Управление на основании реестров, поступивших из Минсельхозпрода, в течение 5 рабочих дней заключает с сельскохозяйственными товаропроизводителями соглашения (далее - получатель субсидии).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Получатели субсидии на первое число месяца, предшествующего месяцу, в котором принимается решение о предоставлении субсидии, должны соответствовать следующим требованиям:</w:t>
      </w:r>
      <w:r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pacing w:val="2"/>
          <w:sz w:val="24"/>
          <w:szCs w:val="24"/>
        </w:rPr>
        <w:t>- у получателей субсидий должна отсутствовать просроченная задолженность по возврату в бюджет Нижегородской области субсидий, бюджетных инвестиций, предоставленных, в том числе в соответствии с иными правовыми актами;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получатели субсидии - юридические лица (крестьянские (фермерские) хозяйства) не должны находиться в процессе реорганизации, ликвидации, банкротства, а получатели субсидии - индивидуальные предприниматели не должны прекратить деятельность в качестве индивидуального предпринимателя;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получатели субсидии не должны являться иностранными юридическими лицами, а также российским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(оффшорные зоны) в отношении таких юридических лиц, в совокупности превышает 50 процентов;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получатели субсидий не должны получать средства из областного бюджета в соответствии с иными нормативными правовыми актами на цели, предусмотренные пунктом 2.2 настоящего Порядка;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в отношении получателя субсидии не должны быть выявлены факты нарушения условий, установленных при получении бюджетных средств, и их нецелевого использования. Данное ограничение не распространяется на получателей, устранивших нарушения либо возвративших средства в областной (федеральный) бюджет;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- получатель субсидии своевременно представил отчетность о финансово-экономическом состоянии товаропроизводителей агропромышленного комплекса на последнюю отчетную дату.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2.15. Финансовое управление администрации Шарангского муниципальных района Нижегородской области в течение 10 дней со дня поступления средств на лицевой счет Управления осуществляет при участии Управления расчеты с получателями, заключившими соглашение, путем перечисления субсидии на расчетные счета получателей.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2.16. Полученные субсидии отражаются получателями по дебету счета 51 "Расчетный счет" и кредиту счета 86 "Целевое финансирование". Одновременно сумму полученной субсидии отражают по дебету счета 86 "Целевое финансирование" и кредиту счета 98 "Доходы будущих периодов" субсчет 2 "Безвозмездные поступления" и списываются на финансовые результаты отчетного периода по дебету счета 98 "Доходы будущих периодов" и кредиту счета 91 "Прочие доходы и расходы" субсчет 1 "Прочие доходы".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spacing w:val="2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3.Требования к отчетности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3.1. Получатель в срок до 20 января года, следующего за финансовым годом, представляет в Управление отчет о выполнении показателей результативности, установленных в соглашении, по форме согласно приложению 5 к настоящему Порядку.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3.2. Отчетность о финансово-экономическом состоянии товаропроизводителей агропромышленного комплекса представляется сельскохозяйственными товаропроизводителями в порядке, установленном Минсельхозпродом.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bidi w:val="0"/>
        <w:spacing w:lineRule="auto" w:line="240" w:before="0" w:after="0"/>
        <w:ind w:left="0" w:right="0" w:firstLine="567"/>
        <w:jc w:val="center"/>
        <w:outlineLvl w:val="1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  <w:t>4. Требования об осуществлении контроля за соблюдением условий, целей и порядка предоставления субсидий и ответственности за их нарушение</w:t>
      </w:r>
    </w:p>
    <w:p>
      <w:pPr>
        <w:pStyle w:val="ConsPlusTitle"/>
        <w:numPr>
          <w:ilvl w:val="0"/>
          <w:numId w:val="0"/>
        </w:numPr>
        <w:bidi w:val="0"/>
        <w:spacing w:lineRule="auto" w:line="240" w:before="0" w:after="0"/>
        <w:ind w:left="0" w:right="0" w:firstLine="567"/>
        <w:jc w:val="center"/>
        <w:outlineLvl w:val="1"/>
        <w:rPr>
          <w:rFonts w:cs="Times New Roman"/>
          <w:b w:val="false"/>
          <w:b w:val="false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4.1. Соблюдение условий, целей и порядка предоставления субсидий подлежит обязательной проверке в соответствии со статьей 78 Бюджетного кодекса Российской Федерации.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4.2.В случае выявления средств федерального бюджета, выплаченных (полученных) с нарушением условий, целей и порядка предоставления субсидий, установленных настоящим Порядком и соглашением, субсидия в части средств федерального бюджета подлежит возврату в доход федерального бюджета в соответствии с бюджетным законодательством Российской Федерации.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В случае выявления средств областного бюджета, выплаченных (полученных) с нарушением условий, целей и порядка предоставления субсидий, установленных настоящим Порядком и соглашением, субсидия подлежит возврату в областной бюджет в течение 30 дней с момента установления факта нарушения. 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В случае непредставления отчетности в срок, установленный пунктом 3.1 настоящего Порядка, субсидия подлежит возврату в соответствующий бюджет в течение 30 дней со дня истечения срока, предусмотренного пунктом 3.1 настоящего Порядка.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В случае недостижения показателей результативности, установленных соглашением, бюджетные средства подлежат возврату в объеме и в сроки, аналогичные установленным пунктами 16 - 18 Правил формирования, предоставления и распределения субсидий из федерального бюджета бюджетам субъектов Российской Федерации, утвержденных постановлением Правительства Российской Федерации от 30 сентября 2014 г. № 999.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случае выявления факта нарушения условий, целей и порядка предоставления субсидий, установленных настоящим Порядком, субсидия подлежит возврату в соответствии с бюджетным законодательством.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случае непредставления отчетности в срок, установленный подпунктом 3.1 настоящего Порядка, субсидия подлежит возврату в течение 30 дней со дня истечения срока, предусмотренного подпунктом 3.1 настоящего Порядка.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4.3. Неисполнение получателем обязательств по возврату субсидий в указанные в пункте 3.4. настоящего Порядка сроки является основанием для взыскания суммы субсидии в судебном порядке.</w:t>
      </w:r>
    </w:p>
    <w:p>
      <w:pPr>
        <w:sectPr>
          <w:headerReference w:type="default" r:id="rId4"/>
          <w:type w:val="nextPage"/>
          <w:pgSz w:w="11906" w:h="16838"/>
          <w:pgMar w:left="1418" w:right="678" w:header="930" w:top="987" w:footer="0" w:bottom="60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cs="Times New Roman" w:ascii="Times New Roman" w:hAnsi="Times New Roman"/>
          <w:color w:val="000000"/>
          <w:spacing w:val="2"/>
          <w:sz w:val="24"/>
          <w:szCs w:val="24"/>
        </w:rPr>
        <w:t>4.4. Контроль за соблюдением условий, целей и порядка предоставления субсидий осуществляется Минсельхозпродом, Управлением и органами муниципального финансового контроля.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61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ПРИЛОЖЕНИЕ 1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61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</w:rPr>
        <w:t>Порядку и условиям предоставления и распределения субсидий на</w:t>
      </w:r>
      <w:r>
        <w:rPr>
          <w:rFonts w:ascii="Times New Roman" w:hAnsi="Times New Roman"/>
          <w:bCs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61" w:right="0" w:hanging="0"/>
        <w:jc w:val="center"/>
        <w:textAlignment w:val="baseline"/>
        <w:rPr>
          <w:bCs/>
          <w:spacing w:val="2"/>
          <w:kern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907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Справка-расчет субсидии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 xml:space="preserve">за _______________ квартал ________ года 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________________________________________________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(наименование получателя, муниципального района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(городского округа) Нижегородской области)</w:t>
      </w:r>
    </w:p>
    <w:tbl>
      <w:tblPr>
        <w:tblW w:w="15585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1063"/>
        <w:gridCol w:w="1063"/>
        <w:gridCol w:w="640"/>
        <w:gridCol w:w="1152"/>
        <w:gridCol w:w="1134"/>
        <w:gridCol w:w="568"/>
        <w:gridCol w:w="1"/>
        <w:gridCol w:w="1124"/>
        <w:gridCol w:w="1073"/>
        <w:gridCol w:w="620"/>
        <w:gridCol w:w="2"/>
        <w:gridCol w:w="1302"/>
        <w:gridCol w:w="675"/>
        <w:gridCol w:w="570"/>
        <w:gridCol w:w="855"/>
        <w:gridCol w:w="960"/>
        <w:gridCol w:w="1410"/>
      </w:tblGrid>
      <w:tr>
        <w:trPr>
          <w:trHeight w:val="15" w:hRule="atLeast"/>
        </w:trPr>
        <w:tc>
          <w:tcPr>
            <w:tcW w:w="1373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40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52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8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25" w:type="dxa"/>
            <w:gridSpan w:val="2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73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20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4" w:type="dxa"/>
            <w:gridSpan w:val="2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70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27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Поголовье коров и (или) коз, голов</w:t>
            </w:r>
          </w:p>
        </w:tc>
        <w:tc>
          <w:tcPr>
            <w:tcW w:w="28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Молочная продуктивность</w:t>
            </w:r>
          </w:p>
        </w:tc>
        <w:tc>
          <w:tcPr>
            <w:tcW w:w="28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производства молока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реализации молока за ________</w:t>
            </w:r>
          </w:p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квартал</w:t>
            </w:r>
          </w:p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201_ (текущего) года, кг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Кмп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Км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Кмпг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Ставка субсидии, руб.</w:t>
            </w:r>
          </w:p>
        </w:tc>
        <w:tc>
          <w:tcPr>
            <w:tcW w:w="1410" w:type="dxa"/>
            <w:tcBorders>
              <w:top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Начислено субсидий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16 = гр. 11 x гр. 12 х гр. 13х гр.14 х гр.15),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рублей</w:t>
            </w:r>
          </w:p>
        </w:tc>
      </w:tr>
      <w:tr>
        <w:trPr/>
        <w:tc>
          <w:tcPr>
            <w:tcW w:w="13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1_______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 _года</w:t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 1______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 _ года</w:t>
            </w:r>
          </w:p>
        </w:tc>
        <w:tc>
          <w:tcPr>
            <w:tcW w:w="6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(+/-),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голов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4 = гр. 3 - гр. 2)</w:t>
            </w:r>
          </w:p>
        </w:tc>
        <w:tc>
          <w:tcPr>
            <w:tcW w:w="1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201_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год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(предшест. отчетному), кг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201_ год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(отчетный), кг</w:t>
            </w:r>
          </w:p>
        </w:tc>
        <w:tc>
          <w:tcPr>
            <w:tcW w:w="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7 = гр. 6/ гр. 5) *100 %</w:t>
            </w:r>
          </w:p>
        </w:tc>
        <w:tc>
          <w:tcPr>
            <w:tcW w:w="112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квартал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201_ (отчетного) года, кг</w:t>
            </w:r>
          </w:p>
        </w:tc>
        <w:tc>
          <w:tcPr>
            <w:tcW w:w="10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квартал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201_ (текущего) года, кг</w:t>
            </w:r>
          </w:p>
        </w:tc>
        <w:tc>
          <w:tcPr>
            <w:tcW w:w="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%,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гр.10 = (гр.9/ гр.8)</w:t>
            </w:r>
          </w:p>
        </w:tc>
        <w:tc>
          <w:tcPr>
            <w:tcW w:w="1304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6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112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10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1304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5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13</w:t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16</w:t>
            </w:r>
          </w:p>
        </w:tc>
      </w:tr>
      <w:tr>
        <w:trPr/>
        <w:tc>
          <w:tcPr>
            <w:tcW w:w="13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2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4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2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4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sectPr>
          <w:headerReference w:type="default" r:id="rId5"/>
          <w:type w:val="nextPage"/>
          <w:pgSz w:orient="landscape" w:w="16838" w:h="11906"/>
          <w:pgMar w:left="600" w:right="593" w:header="1134" w:top="1648" w:footer="0" w:bottom="572" w:gutter="0"/>
          <w:pgNumType w:fmt="decimal"/>
          <w:formProt w:val="false"/>
          <w:textDirection w:val="lrTb"/>
        </w:sect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"___" ___________________ 20___ год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61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 xml:space="preserve">ПРИЛОЖЕНИЕ </w:t>
      </w:r>
      <w:r>
        <w:rPr>
          <w:rFonts w:cs="Arial" w:ascii="Times New Roman" w:hAnsi="Times New Roman"/>
          <w:color w:val="2D2D2D"/>
          <w:spacing w:val="2"/>
          <w:sz w:val="24"/>
          <w:szCs w:val="24"/>
        </w:rPr>
        <w:t>2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61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bCs/>
          <w:color w:val="2D2D2D"/>
          <w:spacing w:val="2"/>
          <w:kern w:val="2"/>
          <w:sz w:val="24"/>
          <w:szCs w:val="24"/>
        </w:rPr>
        <w:t>к Порядку и условиям предоставления и распределения субсидий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right"/>
        <w:textAlignment w:val="baseline"/>
        <w:rPr>
          <w:rFonts w:cs="Arial"/>
          <w:bCs/>
          <w:color w:val="2D2D2D"/>
          <w:spacing w:val="2"/>
          <w:kern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Справка-расчет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3C3C3C"/>
          <w:spacing w:val="2"/>
          <w:sz w:val="24"/>
          <w:szCs w:val="24"/>
        </w:rPr>
        <w:t>субсидии на возмещение части затрат сельскохозяйственных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3C3C3C"/>
          <w:spacing w:val="2"/>
          <w:sz w:val="24"/>
          <w:szCs w:val="24"/>
        </w:rPr>
        <w:t>товаропроизводителей на 1 килограмм реализованного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3C3C3C"/>
          <w:spacing w:val="2"/>
          <w:sz w:val="24"/>
          <w:szCs w:val="24"/>
        </w:rPr>
        <w:t>и (или) отгруженного на собственную переработку молока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3C3C3C"/>
          <w:spacing w:val="2"/>
          <w:sz w:val="24"/>
          <w:szCs w:val="24"/>
        </w:rPr>
        <w:t>за счет средств областного бюджета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за _______________ квартал ________ года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2D2D2D"/>
          <w:spacing w:val="2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2D2D2D"/>
          <w:spacing w:val="2"/>
          <w:sz w:val="24"/>
          <w:szCs w:val="24"/>
        </w:rPr>
        <w:t>(наименование получателя, муниципального района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2D2D2D"/>
          <w:spacing w:val="2"/>
          <w:sz w:val="24"/>
          <w:szCs w:val="24"/>
        </w:rPr>
        <w:t>(городского округа) Нижегородской области)</w:t>
      </w:r>
    </w:p>
    <w:tbl>
      <w:tblPr>
        <w:tblW w:w="15645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3"/>
        <w:gridCol w:w="1292"/>
        <w:gridCol w:w="960"/>
        <w:gridCol w:w="1020"/>
        <w:gridCol w:w="915"/>
        <w:gridCol w:w="1020"/>
        <w:gridCol w:w="1080"/>
        <w:gridCol w:w="1020"/>
        <w:gridCol w:w="1020"/>
        <w:gridCol w:w="1185"/>
        <w:gridCol w:w="1185"/>
        <w:gridCol w:w="1080"/>
        <w:gridCol w:w="855"/>
        <w:gridCol w:w="675"/>
        <w:gridCol w:w="690"/>
        <w:gridCol w:w="735"/>
        <w:gridCol w:w="900"/>
      </w:tblGrid>
      <w:tr>
        <w:trPr/>
        <w:tc>
          <w:tcPr>
            <w:tcW w:w="13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28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Поголовье коров и (или) коз, голов</w:t>
            </w:r>
          </w:p>
        </w:tc>
        <w:tc>
          <w:tcPr>
            <w:tcW w:w="3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Молочная продуктивность</w:t>
            </w:r>
          </w:p>
        </w:tc>
        <w:tc>
          <w:tcPr>
            <w:tcW w:w="33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производства молока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реализации молока за 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квартал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201_ (текущего) года, кг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Кмп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Км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Кмпг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Ставка субсидии, руб.</w:t>
            </w:r>
          </w:p>
        </w:tc>
        <w:tc>
          <w:tcPr>
            <w:tcW w:w="900" w:type="dxa"/>
            <w:tcBorders>
              <w:top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Начислено субсидий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16 = гр. 11 x гр. 12 х гр. 13х гр.14 х гр.15),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рублей</w:t>
            </w:r>
          </w:p>
        </w:tc>
      </w:tr>
      <w:tr>
        <w:trPr/>
        <w:tc>
          <w:tcPr>
            <w:tcW w:w="13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1_______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 _года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1_______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 _ года</w:t>
            </w:r>
          </w:p>
        </w:tc>
        <w:tc>
          <w:tcPr>
            <w:tcW w:w="9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(+/-),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голов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4 = гр. 3 - гр. 2)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201_ год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(предшест. отчетному), кг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201_ год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(отчетный), кг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%,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7 = гр. 6/ гр. 5) *100 %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квартал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201_ (отчетного) года, кг</w:t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за 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квартал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201_ (текущего) года, кг</w:t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%, гр.10=(гр.9/гр.8)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0" w:type="dxa"/>
            <w:tcBorders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9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7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16</w:t>
            </w:r>
          </w:p>
        </w:tc>
      </w:tr>
      <w:tr>
        <w:trPr/>
        <w:tc>
          <w:tcPr>
            <w:tcW w:w="13" w:type="dxa"/>
            <w:tcBorders/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" w:type="dxa"/>
            <w:tcBorders/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6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30" w:type="dxa"/>
              <w:right w:w="13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tLeast" w:line="288" w:before="0" w:after="0"/>
        <w:ind w:left="0" w:right="0" w:hanging="0"/>
        <w:jc w:val="right"/>
        <w:textAlignment w:val="baseline"/>
        <w:rPr>
          <w:rFonts w:cs="Arial"/>
          <w:color w:val="2D2D2D"/>
          <w:spacing w:val="2"/>
        </w:rPr>
      </w:pPr>
      <w:r>
        <w:rPr>
          <w:rFonts w:cs="Times New Roman" w:ascii="Times New Roman" w:hAnsi="Times New Roman"/>
          <w:color w:val="000000"/>
          <w:spacing w:val="2"/>
          <w:sz w:val="24"/>
          <w:szCs w:val="24"/>
        </w:rPr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sectPr>
          <w:headerReference w:type="default" r:id="rId6"/>
          <w:type w:val="nextPage"/>
          <w:pgSz w:orient="landscape" w:w="16838" w:h="11906"/>
          <w:pgMar w:left="600" w:right="593" w:header="1134" w:top="1648" w:footer="0" w:bottom="572" w:gutter="0"/>
          <w:pgNumType w:fmt="decimal"/>
          <w:formProt w:val="false"/>
          <w:textDirection w:val="lrTb"/>
        </w:sect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jc w:val="both"/>
        <w:textAlignment w:val="baseline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eastAsia="Times New Roman" w:cs="Arial" w:ascii="Times New Roman" w:hAnsi="Times New Roman"/>
          <w:color w:val="2D2D2D"/>
          <w:spacing w:val="2"/>
          <w:sz w:val="24"/>
          <w:szCs w:val="24"/>
        </w:rPr>
        <w:t>"___" ___________________ 20___ год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ПРИЛОЖЕНИЕ 3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</w:rPr>
        <w:t>Порядку и условиям предоставления и распределения субсидий на</w:t>
      </w:r>
      <w:r>
        <w:rPr>
          <w:rFonts w:ascii="Times New Roman" w:hAnsi="Times New Roman"/>
          <w:bCs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cs="Arial"/>
          <w:color w:val="3C3C3C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Реестр документов, подтверждающих факт реализации и (или) отгрузки на собственную переработку товарного молока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за _______________ квартал ________ года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cs="Arial" w:ascii="Times New Roman" w:hAnsi="Times New Roman"/>
          <w:color w:val="2D2D2D"/>
          <w:spacing w:val="2"/>
          <w:sz w:val="24"/>
          <w:szCs w:val="24"/>
        </w:rPr>
        <w:t>________________________________________________________________________________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(наименование получателя, муниципального района (городского округа) Нижегородской области)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cs="Arial"/>
          <w:color w:val="2D2D2D"/>
          <w:spacing w:val="2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750" w:type="dxa"/>
        <w:jc w:val="left"/>
        <w:tblInd w:w="0" w:type="dxa"/>
        <w:tblCellMar>
          <w:top w:w="0" w:type="dxa"/>
          <w:left w:w="149" w:type="dxa"/>
          <w:bottom w:w="0" w:type="dxa"/>
          <w:right w:w="149" w:type="dxa"/>
        </w:tblCellMar>
      </w:tblPr>
      <w:tblGrid>
        <w:gridCol w:w="1533"/>
        <w:gridCol w:w="1354"/>
        <w:gridCol w:w="1171"/>
        <w:gridCol w:w="1185"/>
        <w:gridCol w:w="864"/>
        <w:gridCol w:w="1318"/>
        <w:gridCol w:w="855"/>
        <w:gridCol w:w="1470"/>
      </w:tblGrid>
      <w:tr>
        <w:trPr/>
        <w:tc>
          <w:tcPr>
            <w:tcW w:w="52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Документ, подтверждающий реализацию и (или) отгрузку на собственную переработку молока</w:t>
            </w:r>
          </w:p>
        </w:tc>
        <w:tc>
          <w:tcPr>
            <w:tcW w:w="21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Молоко коровье</w:t>
            </w:r>
          </w:p>
        </w:tc>
        <w:tc>
          <w:tcPr>
            <w:tcW w:w="23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Молоко козье</w:t>
            </w:r>
          </w:p>
        </w:tc>
      </w:tr>
      <w:tr>
        <w:trPr/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приемщика молока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Вид организации приемщика молока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Дата документа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Номер документа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(кг)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Стоимость реализованного молока и (или) плановая себестоимость отгруженного на собственную переработку молока (тыс.рублей)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(кг)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Стоимость реализованного молока и (или) плановая себестоимость отгруженного на собственную переработку молока (тыс.рублей)</w:t>
            </w:r>
          </w:p>
        </w:tc>
      </w:tr>
      <w:tr>
        <w:trPr/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eastAsia="Times New Roman"/>
          <w:color w:val="2D2D2D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sectPr>
          <w:headerReference w:type="default" r:id="rId7"/>
          <w:type w:val="nextPage"/>
          <w:pgSz w:w="11906" w:h="16838"/>
          <w:pgMar w:left="1418" w:right="678" w:header="930" w:top="987" w:footer="0" w:bottom="60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jc w:val="both"/>
        <w:textAlignment w:val="baseline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eastAsia="Times New Roman" w:cs="Arial" w:ascii="Times New Roman" w:hAnsi="Times New Roman"/>
          <w:color w:val="2D2D2D"/>
          <w:spacing w:val="2"/>
          <w:sz w:val="24"/>
          <w:szCs w:val="24"/>
        </w:rPr>
        <w:t>"___" ___________________ 20___ год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0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ПРИЛОЖЕНИЕ 4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020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</w:rPr>
        <w:t>Порядку и условиям предоставления и распределения субсидий на</w:t>
      </w:r>
      <w:r>
        <w:rPr>
          <w:rFonts w:ascii="Times New Roman" w:hAnsi="Times New Roman"/>
          <w:bCs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right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907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Справка-расчет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907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 xml:space="preserve">субсидии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получателям, увеличившим поголовье дойного стада крупного рогатого скота на 31 декабря текущего года к уровню поголовья дойного стада крупного рогатого скота по состоянию на 1 января текущего года не менее чем на 10 голов за счет средств областного бюджета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907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за _______________ квартал ________ года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_________________________________________________________________________________________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(наименование получателя, муниципального района (городского округа) Нижегородской области)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cs="Arial"/>
          <w:color w:val="2D2D2D"/>
          <w:spacing w:val="2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5645" w:type="dxa"/>
        <w:jc w:val="left"/>
        <w:tblInd w:w="0" w:type="dxa"/>
        <w:tblCellMar>
          <w:top w:w="0" w:type="dxa"/>
          <w:left w:w="110" w:type="dxa"/>
          <w:bottom w:w="0" w:type="dxa"/>
          <w:right w:w="110" w:type="dxa"/>
        </w:tblCellMar>
      </w:tblPr>
      <w:tblGrid>
        <w:gridCol w:w="1815"/>
        <w:gridCol w:w="2550"/>
        <w:gridCol w:w="1935"/>
        <w:gridCol w:w="1635"/>
        <w:gridCol w:w="2040"/>
        <w:gridCol w:w="2040"/>
        <w:gridCol w:w="1245"/>
        <w:gridCol w:w="2385"/>
      </w:tblGrid>
      <w:tr>
        <w:trPr/>
        <w:tc>
          <w:tcPr>
            <w:tcW w:w="18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6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Поголовье коров, голов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производства молока за текущий 201_ год, кг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Объем реализации молока за текущий 201_ год, кг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Ставка субсидии, руб.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Начислено субсидий, рублей</w:t>
            </w:r>
          </w:p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(гр. 8 = гр. 6 x гр. 7), при условии гр.4&gt;10</w:t>
            </w:r>
          </w:p>
        </w:tc>
      </w:tr>
      <w:tr>
        <w:trPr/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1 января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201 _ (текущего года)</w:t>
            </w:r>
          </w:p>
        </w:tc>
        <w:tc>
          <w:tcPr>
            <w:tcW w:w="19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по состоянию на 31 декабря 201 _ (текущего года)</w:t>
            </w:r>
          </w:p>
        </w:tc>
        <w:tc>
          <w:tcPr>
            <w:tcW w:w="1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(+/-), голов (гр. 4 = гр. 3 - гр. 2)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jc w:val="right"/>
        <w:textAlignment w:val="baseline"/>
        <w:rPr>
          <w:rFonts w:eastAsia="Times New Roman" w:cs="Arial"/>
          <w:color w:val="2D2D2D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bookmarkStart w:id="0" w:name="__DdeLink__28656_3674728082"/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sectPr>
          <w:headerReference w:type="default" r:id="rId8"/>
          <w:type w:val="nextPage"/>
          <w:pgSz w:orient="landscape" w:w="16838" w:h="11906"/>
          <w:pgMar w:left="600" w:right="593" w:header="1134" w:top="1648" w:footer="0" w:bottom="572" w:gutter="0"/>
          <w:pgNumType w:fmt="decimal"/>
          <w:formProt w:val="false"/>
          <w:textDirection w:val="lrTb"/>
        </w:sect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jc w:val="both"/>
        <w:textAlignment w:val="baseline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bookmarkStart w:id="1" w:name="__DdeLink__28656_3674728082"/>
      <w:r>
        <w:rPr>
          <w:rFonts w:eastAsia="Times New Roman" w:cs="Arial" w:ascii="Times New Roman" w:hAnsi="Times New Roman"/>
          <w:color w:val="2D2D2D"/>
          <w:spacing w:val="2"/>
          <w:sz w:val="24"/>
          <w:szCs w:val="24"/>
        </w:rPr>
        <w:t>"___" ___________________ 20___ год</w:t>
      </w:r>
      <w:bookmarkEnd w:id="1"/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ПРИЛОЖЕНИЕ 5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</w:rPr>
        <w:t>Порядку и условиям  предоставления и распределения субсидий на</w:t>
      </w:r>
      <w:r>
        <w:rPr>
          <w:rFonts w:ascii="Times New Roman" w:hAnsi="Times New Roman"/>
          <w:bCs/>
          <w:spacing w:val="2"/>
          <w:kern w:val="2"/>
          <w:sz w:val="24"/>
          <w:szCs w:val="24"/>
        </w:rPr>
        <w:t xml:space="preserve">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молока, источником финансового обеспечения которых являются средства федерального и областного бюджетов</w:t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right"/>
        <w:textAlignment w:val="baseline"/>
        <w:rPr>
          <w:rFonts w:ascii="Times New Roman" w:hAnsi="Times New Roman" w:cs="Arial"/>
          <w:color w:val="2D2D2D"/>
          <w:spacing w:val="2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3C3C3C"/>
          <w:spacing w:val="2"/>
          <w:sz w:val="24"/>
          <w:szCs w:val="24"/>
        </w:rPr>
        <w:t>Отчет о выполнении показателей результативности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по ______________________________________________________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color w:val="2D2D2D"/>
          <w:spacing w:val="2"/>
          <w:sz w:val="24"/>
          <w:szCs w:val="24"/>
        </w:rPr>
        <w:t>(наименование получателя)</w:t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305"/>
        <w:gridCol w:w="1815"/>
        <w:gridCol w:w="1710"/>
        <w:gridCol w:w="1920"/>
      </w:tblGrid>
      <w:tr>
        <w:trPr>
          <w:trHeight w:val="15" w:hRule="atLeast"/>
        </w:trPr>
        <w:tc>
          <w:tcPr>
            <w:tcW w:w="4305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Наименование показателя результативности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План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Факт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% выполнения</w:t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2D2D2D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jc w:val="both"/>
        <w:textAlignment w:val="baseline"/>
        <w:rPr>
          <w:rFonts w:eastAsia="Times New Roman" w:cs="Arial"/>
          <w:color w:val="2D2D2D"/>
        </w:rPr>
      </w:pPr>
      <w:r>
        <w:rPr>
          <w:rFonts w:cs="Times New Roman" w:ascii="Times New Roman" w:hAnsi="Times New Roman"/>
          <w:color w:val="000000"/>
          <w:spacing w:val="2"/>
          <w:sz w:val="24"/>
          <w:szCs w:val="24"/>
        </w:rPr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Руководитель получателя </w:t>
        <w:tab/>
        <w:t>_______________________ (______________________)</w:t>
      </w:r>
      <w:r>
        <w:rPr>
          <w:rFonts w:ascii="Times New Roman" w:hAnsi="Times New Roman"/>
          <w:sz w:val="24"/>
          <w:szCs w:val="24"/>
        </w:rPr>
        <w:br/>
        <w:tab/>
        <w:tab/>
      </w:r>
      <w:r>
        <w:rPr>
          <w:rFonts w:eastAsia="Times New Roman" w:ascii="Times New Roman" w:hAnsi="Times New Roman"/>
          <w:color w:val="2D2D2D"/>
          <w:sz w:val="24"/>
          <w:szCs w:val="24"/>
        </w:rPr>
        <w:t xml:space="preserve">подпись </w:t>
        <w:tab/>
        <w:t>расшифровка подписи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color w:val="2D2D2D"/>
          <w:sz w:val="24"/>
          <w:szCs w:val="24"/>
        </w:rPr>
        <w:t>Главный бухгалтер получателя_______________________ (______________________)</w:t>
        <w:br/>
        <w:tab/>
        <w:tab/>
        <w:t xml:space="preserve">подпись </w:t>
        <w:tab/>
        <w:t>расшифровка подписи</w:t>
        <w:br/>
        <w:t>М.П. (при наличии печати)</w:t>
      </w:r>
    </w:p>
    <w:p>
      <w:pPr>
        <w:pStyle w:val="Normal"/>
        <w:shd w:fill="FFFFFF"/>
        <w:tabs>
          <w:tab w:val="clear" w:pos="709"/>
          <w:tab w:val="left" w:pos="3225" w:leader="none"/>
          <w:tab w:val="left" w:pos="3855" w:leader="none"/>
          <w:tab w:val="left" w:pos="6120" w:leader="none"/>
        </w:tabs>
        <w:bidi w:val="0"/>
        <w:spacing w:lineRule="atLeast" w:line="285" w:before="0" w:after="0"/>
        <w:ind w:left="0" w:right="0" w:hanging="0"/>
        <w:jc w:val="both"/>
        <w:textAlignment w:val="baseline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eastAsia="Times New Roman" w:cs="Arial" w:ascii="Times New Roman" w:hAnsi="Times New Roman"/>
          <w:color w:val="2D2D2D"/>
          <w:spacing w:val="2"/>
          <w:sz w:val="24"/>
          <w:szCs w:val="24"/>
        </w:rPr>
        <w:t>"___" ___________________ 20___ год</w:t>
      </w:r>
    </w:p>
    <w:sectPr>
      <w:headerReference w:type="default" r:id="rId9"/>
      <w:type w:val="nextPage"/>
      <w:pgSz w:w="11906" w:h="16838"/>
      <w:pgMar w:left="1418" w:right="678" w:header="930" w:top="987" w:footer="0" w:bottom="60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16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15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15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16</w:t>
    </w:r>
    <w:r>
      <w:rPr/>
      <w:fldChar w:fldCharType="end"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15</w:t>
    </w:r>
    <w:r>
      <w:rPr/>
      <w:fldChar w:fldCharType="end"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16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jc w:val="left"/>
      <w:textAlignment w:val="auto"/>
    </w:pPr>
    <w:rPr>
      <w:rFonts w:ascii="Arial" w:hAnsi="Arial" w:eastAsia="Courier New" w:cs="Arial"/>
      <w:b/>
      <w:bCs/>
      <w:color w:val="auto"/>
      <w:kern w:val="2"/>
      <w:sz w:val="24"/>
      <w:szCs w:val="24"/>
      <w:lang w:val="ru-RU" w:eastAsia="ru-RU" w:bidi="ar-SA"/>
    </w:rPr>
  </w:style>
  <w:style w:type="paragraph" w:styleId="ConsPlusNonformat">
    <w:name w:val="ConsPlusNonformat"/>
    <w:qFormat/>
    <w:pPr>
      <w:widowControl w:val="fals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header" Target="header6.xml"/><Relationship Id="rId9" Type="http://schemas.openxmlformats.org/officeDocument/2006/relationships/header" Target="header7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Application>LibreOffice/6.3.3.2$Windows_x86 LibreOffice_project/a64200df03143b798afd1ec74a12ab50359878ed</Application>
  <Pages>16</Pages>
  <Words>3355</Words>
  <Characters>24672</Characters>
  <CharactersWithSpaces>27834</CharactersWithSpaces>
  <Paragraphs>259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2020-01-17T09:45:42Z</cp:lastPrinted>
  <dcterms:modified xsi:type="dcterms:W3CDTF">2020-01-17T09:46:01Z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