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115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4" w:hanging="0"/>
        <w:jc w:val="center"/>
        <w:rPr/>
      </w:pPr>
      <w:r>
        <w:rPr>
          <w:b/>
          <w:sz w:val="28"/>
          <w:szCs w:val="28"/>
        </w:rPr>
        <w:t>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 на 2020-2021 годы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Title"/>
        <w:suppressAutoHyphens w:val="true"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соответствии с Распоряжением Губернатора Нижегородской области от 27.12.2019 № 2306-р «О внесении изменений в распоряжение Губернатора Нижегородской области от 28 марта 2019 г. №430-р» и Соглашением о внедрении стандарта конкуренции на территории Нижегородской области между министерством экономики Нижегородской области и администрацией Шарангского муниципального района Нижегородской области от 18.02.2016 г. № 134, администрация Шарангского муниципального района Нижегородской области </w:t>
      </w: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Normal"/>
        <w:widowControl w:val="false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прилагаемый ведомственный план мероприятий («дорожная карта») по содействию развитию конкуренции в Шарангском муниципальном районе Нижегородской области на 2020-2021 годы (далее - План).</w:t>
      </w:r>
    </w:p>
    <w:p>
      <w:pPr>
        <w:pStyle w:val="Style23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2. Структурным подразделениям администрации Шарангского муниципального района, ответственным за мероприятия Плана, обеспечить их реализацию.</w:t>
      </w:r>
    </w:p>
    <w:p>
      <w:pPr>
        <w:pStyle w:val="Style23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3. Разместить данное постановление на официальном сайте администрации Шарангского муниципального района.</w:t>
      </w:r>
    </w:p>
    <w:p>
      <w:pPr>
        <w:pStyle w:val="Normal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4. Постановления администрации Шарангского муниципального района от 01.12.2016 №638 «Об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области» и от 08.02.2019г. №37 «О внесении изменений в постановление администрации Шарангского муниципального района от 01.12.2016 №638 «Об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области» признать утратившими силу.</w:t>
      </w:r>
    </w:p>
    <w:p>
      <w:pPr>
        <w:pStyle w:val="Normal"/>
        <w:suppressAutoHyphens w:val="true"/>
        <w:spacing w:lineRule="auto" w:line="360"/>
        <w:ind w:firstLine="709"/>
        <w:jc w:val="both"/>
        <w:rPr/>
      </w:pPr>
      <w:r>
        <w:rPr>
          <w:rFonts w:cs="Times New Roman"/>
          <w:b w:val="false"/>
          <w:sz w:val="28"/>
          <w:szCs w:val="28"/>
        </w:rPr>
        <w:t>3.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10488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11.03.2020 г. № 115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Ведомственный план мероприятий («дорожная карта»)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содействию развитию конкуренции в Шарангском муниципальном районе Нижегородской области на 2020-2021 годы</w:t>
      </w:r>
    </w:p>
    <w:p>
      <w:pPr>
        <w:pStyle w:val="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tbl>
      <w:tblPr>
        <w:tblW w:w="15585" w:type="dxa"/>
        <w:jc w:val="left"/>
        <w:tblInd w:w="15" w:type="dxa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795"/>
        <w:gridCol w:w="3060"/>
        <w:gridCol w:w="900"/>
        <w:gridCol w:w="2325"/>
        <w:gridCol w:w="1365"/>
        <w:gridCol w:w="1245"/>
        <w:gridCol w:w="1305"/>
        <w:gridCol w:w="2445"/>
        <w:gridCol w:w="2145"/>
      </w:tblGrid>
      <w:tr>
        <w:trPr>
          <w:trHeight w:val="390" w:hRule="atLeast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 исполнения</w:t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9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Целевые значения показателя</w:t>
            </w:r>
          </w:p>
        </w:tc>
        <w:tc>
          <w:tcPr>
            <w:tcW w:w="24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Результат исполнения мероприятия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>
        <w:trPr>
          <w:trHeight w:val="465" w:hRule="atLeast"/>
        </w:trPr>
        <w:tc>
          <w:tcPr>
            <w:tcW w:w="7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3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января 2020 года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января 2021 года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января 2022 года</w:t>
            </w:r>
          </w:p>
        </w:tc>
        <w:tc>
          <w:tcPr>
            <w:tcW w:w="24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Системные мероприятия по содействию развитию конкуренции в Шарангском  муниципальном  районе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1"/>
                <w:numId w:val="2"/>
              </w:numPr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1.1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 конкурентоспособности товаров, работ и услуг субъектов малого и среднего предпринимательства</w:t>
            </w:r>
          </w:p>
        </w:tc>
      </w:tr>
      <w:tr>
        <w:trPr>
          <w:trHeight w:val="1182" w:hRule="atLeast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предоставления на безвозмездной основе консультационных услуг для субъектов предпринимательской деятельности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субъектов малого и среднего предпринимательства, получивших комплекс услуг (в том числе финансовых услуг, консультационной и образовательной поддержки), от общего количества субъектов малого и среднего предпринимательства в Шарангском муниципальном районе,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9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субъектов предпринимательской деятельности информационной, консультационной, юридической поддержкой по вопросам ведения деятельности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1.2.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Обеспечение прозрачности и доступности закупок товаров, работ, услуг, осуществляемых с использованием конкурентных способов определения поставщиков (подрядчиков, исполнителей). Включение в программы по повышению качества управления закупочной деятельностью субъектов естественных монополий и компаний с государственным участием показателей эффективности (прирост объема закупок у субъектов малого и среднего предпринимательства, увеличение количества участников закупок из числа субъектов малого и среднего предпринимательства, увеличение количества поставщиков (подрядчиков, исполнителей) из числа субъектов малого и среднего предпринимательства и количества договоров, заключаемых с субъектами малого и среднего предпринимательства, экономия средств заказчика за счет участия в закупках субъектов малого и среднего предпринимательства)</w:t>
            </w:r>
          </w:p>
        </w:tc>
      </w:tr>
      <w:tr>
        <w:trPr>
          <w:trHeight w:val="310" w:hRule="atLeast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1.2.1.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Оказание консультационной поддержки участникам закупки по вопросам, связанным с получением электронной подписи, формированием заявок, а также правовым сопровождением при проведении закупок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семинаров, круглых столов, рабочих совещаний, разработка методических рекомендаций для участников закупок (нарастающим итогом),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уровня конкуренции при осуществлении закупок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1.3.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Устранение избыточного государственного и муниципального регулирования, снижение административных барьеров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Анализ практики реализации государственных функций и услуг, относящихся к полномочиям субъекта Российской Федерации, а также муниципальных функций и услуг на предмет соответствия такой практики статьям 15 и 16 Федерального закона от 26 июля 2016 г. № 135-ФЗ «О защите конкуренции»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Число нарушений органами исполнительной власти Нижегородской области и ОМСУ Федерального закона от 26 июля 2016 г. № 135-ФЗ «О защите конкуренции» (статьи 15 и 16),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органами исполнительной власти Нижегородской области и ОМСУ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экономики и имущественных отношений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анализа влияния проектов нормативных правовых актов администрации Шарангского муниципального района на состояние конкуренции при осуществлении оценки регулирующего воздействия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нормативных правовых актов, в отношении которых проведен анализ влияния на состояние конкуренции, в общем числе нормативных правовых актов, прошедших процедуру оценки регулирующего воздействия,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качества государственного регулирования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1.4.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Совершенствование процессов управления в рамках полномочий органов местного самоуправления, закрепленных за ними законодательством Российской Федерации, объектами муниципальной собственности, ограничение влияния государственных и муниципальных предприятий на конкуренцию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1.4.1.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Сокращение количества муниципальных предприятий на конкурентных рынках Шарангского  муниципального района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ликвидированных и реорганизованных муниципальных унитарных предприятий, ед. (нарастающим итогом)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влияния муниципальных предприятий на конкуренцию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1.4.2.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хозяйствующими субъектами, доля участия муниципальных образований в которых составляет 50 и более процентов, публичных торгов или иных конкурентных процедур при реализации имущества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Реализация имущества хозяйствующими субъектами, доля участия муниципальных образований в которых составляет 50 и более процентов, на основе публичных торгов или иных конкурентных процедур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эффективности управления объектами муниципальной собственности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комплекса мероприятий по повышению эффективности деятельности муниципальных предприятий Шарангского муниципального района (повышение качества работы действующих предприятий, сокращение расходов, оптимизация численности персонала)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безубыточных предприятий, находящихся в муниципальной собственности администрации Шарангского муниципального района, от общего количества предприятий, ведущих хозяйственную деятельность, находящихся в муниципальной собственности,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эффективности деятельности муниципальных предприятий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1.5.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Создание условий для недискриминационного доступа хозяйствующих субъектов на товарные рынки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1.5.1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Предоставление хозяйствующим субъектам государственной поддержки на равных условиях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хозяйствующих субъектов, получивших государственную поддержку на равных условиях,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равных условий для хозяйствующих субъектов при обеспечении государственной поддержки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1.6.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Обеспечение и сохранение целевого использования муниципальных объектов недвижимого имущества в социальной сфере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1.6.1.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Анализ целевого использования муниципальных объектов недвижимого имущества, выявление неиспользуемых по назначению объектов социальной сферы, их передача немуниципальным организациям (с обязательством сохранения целевого назначения и использования объекта недвижимого имущества в одной или нескольких из следующих сфер: дошкольное образование, детский отдых и оздоровление, спорт, здравоохранение, социальное обслуживание, культура)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муниципальных объектов недвижимого имущества, используемых по назначению,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Создание условий для привлечения негосударственных организаций в сферу оказания социальных услуг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1.7.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Стимулирование новых предпринимательских инициатив за счет проведения образовательных мероприятий, обеспечивающих возможности для поиска, отбора и обучения потенциальных предпринимателей, в том числе путем разработки и реализации региональной программы по ускоренному развитию субъектов малого и среднего предпринимательства и достижения показателей ее эффективности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1.7.1.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совещаний, круглых столов, конференций (форумов), единых информационных дней, пресс-конференций по вопросам развития предпринимательства (ведение диалога органов муниципальной власти и бизнеса)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совместных проводимых мероприятий по вопросам развития предпринимательства,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4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Выработка предложений по решению проблем и мероприятий в целях развития малого и среднего предпринимательства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 «Шарангский центр развития бизнеса» (по согласованию)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1.8.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Обеспечение равных условий доступа к информации о государственном имуществе Нижегородской области и имуществе, находящемся в собственности муниципальных образований, в том числе имуществе, включаемом в перечни для предоставления на льготных условиях субъектам малого и среднего предпринимательства, о реализации такого имущества или предоставлении его во владение и (или) пользование, а также о ресурсах всех видов, находящихся в муниципальной собственности, путем размещения указанной информации на официальном сайте Российской Федерации в информационно-телекоммуникационной сети «Интернет» для размещения информации о проведении торгов (www.torgi.gov.ru) и на официальном сайте министерства экономического развития и инвестиций Нижегородской области, являющегося уполномоченным органом исполнительной власти Нижегородской области по содействию развитию конкуренции (в информационно-телекоммуникационной сети «Интернет»)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1.8.1.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информации о реализации имущества, находящегося в муниципальной собственности, а также о предоставлении его в аренду в средствах массовой информации, в том числе в информационно- телекоммуникационной сети «Интернет» (далее – сеть «Интернет»)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информационных сообщений в средствах массовой информации по мере проведения аукционов по продаже или предоставлению имущества в аренду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прозрачности и обеспечение равного доступа к информации об объектах, находящихся в государственной собственности Нижегородской области и собственности Шарангского муниципального района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1.8.2.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опубликования и актуализации в сети «Интернет» информации об объектах (наименование, местонахождения, характеристики, целевое значение, существующие ограничения их использования и обременения правами третьих лиц), находящихся в муниципальной собственности Шарангского муниципального района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в сети «Интернет» актуальной информации об объектах, находящихся в муниципальной собственности Шарангского муниципального района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2161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опубликования и актуализации в сети «Интернет» информации об имуществе, находящемся в муниципальной собственности Шарангского муниципального района, включаемом в перечни для предоставления на льготных условиях субъектам малого и среднего предпринимательства, о реализации такого имущества или предоставлении его во владение и (или) пользование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в сети «Интернет» актуальной информации об объектах, находящихся в муниципальной собственности Шарангского муниципального района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1.9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Внедрение системы мер обеспечения соблюдения требований антимонопольного законодательства органами исполнительной власти Нижегородской области и ОМСУ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ОМСУ работы по внедрению антимонопольного комплаенса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Шарангского муниципального района в сети «Интернет» муниципальных правовых актов о внедрении антимонопольного комплаенса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ОМСУ антимонопольного законодательства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33" w:hRule="atLeast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1.10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Организация мониторинга состояния и развития конкурентной среды на рынках товаров и услуг Шарангского муниципального района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наличия (отсутствия) административных барьеров и оценки состояния конкуренции субъектами предпринимательской деятельности и потребителями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удовлетворенности потребителей качеством товаров и услуг на товарных рынках Шарангского муниципального района и состоянием ценовой конкуренции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удовлетворенности субъектов предпринимательской деятельности и потребителей товаров, работ, услуг качеством (в том числе уровнем доступности, понятности и удобства получения) официальной информации о состоянии конкуренции на товарных рынках Шарангского муниципального района и деятельности по содействию развитию конкуренции, размещаемой министерством экономического развития и инвестиций Нижегородской области и муниципальными образованиями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мониторингов деятельности хозяйствующих субъектов, доля участия Нижегородской области или муниципального образования в которых составляет 50 и более процентов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проведенных мониторингов,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в отдельных отраслях (сферах) экономики Шарангского  муниципального района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2.1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Рынок услуг дошкольного образования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2. 1.1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муниципально-частного партнёрства по организации дошкольного образования (предоставление индивидуальным предпринимателям на конкурсной основе муниципальных помещений для предоставления услуги по присмотру и уходу за детьми дошкольного возраста)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обучающихся дошкольного возраста в частных образовательных организациях, у индивидуальных предпринимателей, реализующих основные общеобразовательные программы - образовательные программы дошкольного образования, в общей численности обучающихся дошкольного возраста в образовательных организациях, у индивидуальных предпринимателей, реализующих основные общеобразовательные программы - образовательные программы дошкольного образования, %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Увеличение охвата детей услугами дошкольного образования путем развития негосударственного сектора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 образования  и молодежной политики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2.2.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Рынок ритуальных услуг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инвентаризации действующих мест погребения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организаций частной формы собственности в сфере ритуальных услуг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(доля выручки организаций частной формы собственности, от общего объема выручки всех хозяйствующих субъектов (всех форм собственности), за исключением выручки от оказания услуг (выполнения работ) по содержанию и благоустройству кладбищ), %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Снижение недобросовестной конкуренции на рынке ритуальных услуг, повышение прозрачности рынка, снижение коррупции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Администрации  сельских поселений (по согласованию)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2.3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Рынок выполнения работ по благоустройству городской среды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доступа хозяйствующих субъектов рынка к информации о планируемых закупках в сфере проведения работ по благоустройству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организаций частной формы собственности в сфере выполнения работ по благоустройству городской среды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(доля объема выручки организаций частной формы собственности от общего объема выручки всех хозяйствующих субъектов), %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60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70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24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прозрачности и равноправного доступа к закупкам для всех участников рынка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2.3.2.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равных условий участия в муниципальных закупках для всех участников рынка</w:t>
            </w:r>
          </w:p>
        </w:tc>
        <w:tc>
          <w:tcPr>
            <w:tcW w:w="9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32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4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2.3.3.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опросов населения для определения приоритетных проектов в сфере благоустройства городской среды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муниципальных контрактов, заключенных для реализации проектов по благоустройству городской среды, определенных жителями в качестве приоритетных, в общем числе муниципальных контрактов в сфере благоустройства городской среды,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Вовлечение населения в процесс благоустройства городской среды. Повышение удовлетворенности населения состоянием городской среды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Расширение практики муниципально-частного партнерства в сфере благоустройства городской среды в рамках регионального проекта «Местные инициативы»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проектов по благоустройству городской среды, реализуемых в  рамках проекта «Местные инициативы», 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2.4.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Рынок выполнения работ по содержанию и текущему ремонту общего имущества собственников помещений в многоквартирном доме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антимонопольного законодательства при проведении конкурсов по отбору управляющей организации, предусмотренных Жилищным кодексом Российской Федерации и Правилами проведения органом местного самоуправления открытого конкурса по отбору управляющей организации для управления многоквартирным домом, утвержденными постановлением Правительства Российской Федерации 06 февраля 2006 г. № 75.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организаций частной формы собственности в сфере выполнения работ по содержанию и текущему ремонту общего имущества собственников помещений в многоквартирном доме (доля общей площади помещений, находящихся в управлении у организаций частной формы собственности в общей площади помещений, входящих в состав общего имущества собственников помещений в многоквартирном доме, находящихся в управлении у всех хозяйствующих субъектов (за исключением товариществ собственников жилья, жилищных, жилищно-строительных кооператоров или иных специализированных потребительских кооперативов, а также непосредственного способа управления), осуществляющих деятельность по управлению многоквартирными домами),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недобросовестной конкуренции на рынке</w:t>
            </w:r>
          </w:p>
          <w:p>
            <w:pPr>
              <w:pStyle w:val="TableParagraph"/>
              <w:tabs>
                <w:tab w:val="clear" w:pos="709"/>
                <w:tab w:val="left" w:pos="690" w:leader="none"/>
                <w:tab w:val="left" w:pos="1721" w:leader="none"/>
              </w:tabs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качества услуг в сфере жилищно-коммунального хозяйства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равных условий для всех участников рынка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2.5.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Рынок услуг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 перевозке пассажиров автомобильным транспортом по муниципальным маршрутам регулярных перевозок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b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2.5.1.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проведения открытых конкурсов на право осуществления перевозок по муниципальным маршрутам регулярных перевозок автомобильным транспортом по нерегулируемым тарифам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Доля услуг (работ) по перевозке пассажиров автомобильным транспортом по муниципальным маршрутам регулярных перевозок, оказанных (выполненных) организациями частной формы собственности (по количеству перевезенных пассажиров),</w:t>
            </w:r>
            <w:r>
              <w:rPr>
                <w:rFonts w:cs="Times New Roman"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равных условий допуска к муниципальным закупкам для участников рынка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2.5.2.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Участие в рейдовых мероприятиях в рамках деятельности межведомственной комиссии по пресечению деятельности нелегальных перевозчиков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негативного влияния деятельности нелегальных перевозчиков на развитие рынка</w:t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2.6.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Рынок услуг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 перевозке пассажиров автомобильным транспортом по межмуниципальным маршрутам регулярных перевозок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Участие в рейдовых мероприятиях в рамках деятельности межведомственной комиссии по пресечению деятельности нелегальных перевозчиков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услуг (работ) по перевозке пассажиров автомобильным транспортом по межмуниципальным маршрутам регулярных перевозок, оказанных (выполненных) организациями частной формы собственности (по количеству перевезенных пассажиров),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24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Создание равных условий для всех участников рынка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информации о критериях конкурсного отбора перевозчиков в открытом доступе в сети Интернет с целью обеспечения максимальной доступности информации и прозрачности условий работы на рынке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межмуниципальных маршрутов пассажирского автомобильного транспорта, на которых осуществляются перевозки пассажиров негосударственными (немуниципальными) перевозчиками, от общего числа межмуниципальных маршрутов пассажирского автомобильного транспорта,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2.7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Рынок услуг связи, в том числе услуг по предоставлению широкополосного доступа к информационно-телекоммуникационной сети «Интернет»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2.7.1.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Оказание содействия операторам связи в реализации инвестиционных проектов по строительству объектов связи на территории Нижегородской области, в том числе в размещении оборудования базовых станций на землях и объектах государственной и муниципальной собственности на территории Нижегородской области по мере поступления запросов от организаций операторов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1667" w:leader="none"/>
              </w:tabs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Увеличение количества объектов государственной и муниципальной собственности, фактически используемых операторами связи для размещения и строительства сетей и сооружений связи, по отношению к показателям 2018 года, %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+5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+5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tabs>
                <w:tab w:val="clear" w:pos="709"/>
                <w:tab w:val="left" w:pos="1405" w:leader="none"/>
              </w:tabs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Реализация инвестиционных проектов на территории Нижегородской области, направленных на развитие сетей передачи данных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2.8</w:t>
            </w:r>
          </w:p>
        </w:tc>
        <w:tc>
          <w:tcPr>
            <w:tcW w:w="147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Рынок переработки водных биоресурсов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2.8.1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Оказание консультационных услуг субъектам малого и среднего предпринимательства по вопросам предоставления государственной поддержки организациям, осуществления закупок.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Доля организаций частной формы собственности на рынке переработки водных биоресурсов (доля объема продукции, произведенной   из водных биоресурсов  </w:t>
            </w:r>
            <w:r>
              <w:rPr>
                <w:rFonts w:cs="Times New Roman" w:ascii="Times New Roman" w:hAnsi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организациями частной формы собственности, в общем объеме продукции всех хозяйствующих субъектов), %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Определение уровня конкуренции и проблем на рынке переработки водных биоресурсов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рынка переработки водных биоресурсов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прозрачности и открытости муниципальных закупок продукции переработки водных биоресурсов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2.8.2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равных условий участия в муниципальных закупках для всех организаций, действующих на рынке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32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6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2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4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uppressAutoHyphens w:val="true"/>
        <w:spacing w:lineRule="auto" w:line="240" w:before="0" w:after="0"/>
        <w:ind w:left="0" w:right="0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5"/>
      <w:type w:val="nextPage"/>
      <w:pgSz w:orient="landscape" w:w="16838" w:h="11906"/>
      <w:pgMar w:left="540" w:right="71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2"/>
      <w:sz w:val="22"/>
      <w:szCs w:val="20"/>
      <w:lang w:bidi="ar-SA" w:val="ru-RU" w:eastAsia="zh-CN"/>
    </w:rPr>
  </w:style>
  <w:style w:type="paragraph" w:styleId="Style23">
    <w:name w:val="Нормальный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ru-RU" w:bidi="ar-SA" w:val="ru-RU"/>
    </w:rPr>
  </w:style>
  <w:style w:type="paragraph" w:styleId="TableParagraph">
    <w:name w:val="Table Paragraph"/>
    <w:basedOn w:val="Normal"/>
    <w:qFormat/>
    <w:pPr>
      <w:widowControl w:val="false"/>
      <w:suppressAutoHyphens w:val="false"/>
      <w:overflowPunct w:val="false"/>
      <w:ind w:left="143" w:right="140" w:hanging="0"/>
      <w:jc w:val="center"/>
    </w:pPr>
    <w:rPr>
      <w:rFonts w:ascii="Arial" w:hAnsi="Arial" w:eastAsia="Arial" w:cs="Arial"/>
      <w:color w:val="auto"/>
      <w:sz w:val="22"/>
      <w:szCs w:val="22"/>
      <w:lang w:eastAsia="ru-RU" w:bidi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LibreOffice/6.3.4.2$Windows_X86_64 LibreOffice_project/60da17e045e08f1793c57c00ba83cdfce946d0aa</Application>
  <Pages>18</Pages>
  <Words>2693</Words>
  <Characters>20683</Characters>
  <CharactersWithSpaces>23021</CharactersWithSpaces>
  <Paragraphs>375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2020-03-13T14:08:31Z</cp:lastPrinted>
  <dcterms:modified xsi:type="dcterms:W3CDTF">2020-03-13T14:10:10Z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