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>от 11.03.20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113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850" w:right="850" w:hanging="0"/>
        <w:jc w:val="center"/>
        <w:rPr>
          <w:rFonts w:ascii="Times New Roman" w:hAnsi="Times New Roman"/>
          <w:sz w:val="28"/>
          <w:szCs w:val="28"/>
        </w:rPr>
      </w:pPr>
      <w:r>
        <w:rPr>
          <w:b/>
          <w:bCs/>
          <w:sz w:val="28"/>
          <w:szCs w:val="28"/>
        </w:rPr>
        <w:t>О внесении изменений в муниципальную программу «Развитие физической культуры и спорта Шарангского муниципального района на 2020-2024 годы», утвержденную постановлением от 06.11.2019 года №594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 xml:space="preserve">В целях приведения в соответствие с решением Земского собрания Шарангского муниципального района от 20.12.2019г. №50 «О районном бюджете на 2020 год и плановый период 2021 и 2022 гг.»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Calibri"/>
          <w:b/>
          <w:sz w:val="28"/>
          <w:szCs w:val="28"/>
        </w:rPr>
        <w:t xml:space="preserve"> </w:t>
      </w:r>
      <w:r>
        <w:rPr>
          <w:sz w:val="28"/>
          <w:szCs w:val="28"/>
        </w:rPr>
        <w:t>1.Внести в муниципальную программу «Развитие физической культуры и спорта Шарангского муниципального района на 2020-2024 годы» (далее - муниципальная программа), утвержденную постановлением администрации Шарангского муниципального района от 6 ноября 2019 года №594, следующие изменения: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cs="Calibri"/>
          <w:sz w:val="28"/>
          <w:szCs w:val="28"/>
        </w:rPr>
        <w:t xml:space="preserve"> </w:t>
      </w:r>
      <w:r>
        <w:rPr>
          <w:sz w:val="28"/>
          <w:szCs w:val="28"/>
        </w:rPr>
        <w:t>1.1. В паспорте муниципальной программы позицию «Объемы бюджетных ассигнований Программы за счет средств районного бюджета (тыс. рублей) в разбивке по подпрограммам» изложить в следующей редакции: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«</w:t>
      </w:r>
    </w:p>
    <w:tbl>
      <w:tblPr>
        <w:tblW w:w="9585" w:type="dxa"/>
        <w:jc w:val="left"/>
        <w:tblInd w:w="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710"/>
        <w:gridCol w:w="1246"/>
        <w:gridCol w:w="1019"/>
        <w:gridCol w:w="1081"/>
        <w:gridCol w:w="1079"/>
        <w:gridCol w:w="1035"/>
        <w:gridCol w:w="1004"/>
      </w:tblGrid>
      <w:tr>
        <w:trPr>
          <w:trHeight w:val="598" w:hRule="atLeast"/>
        </w:trPr>
        <w:tc>
          <w:tcPr>
            <w:tcW w:w="1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Объемы бюджетных ассигнований Программы за счет средств районного бюджета(тыс. рублей) в разбивке по подпрограммам</w:t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Программа/ Подпрограмма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2021 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2023 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год</w:t>
            </w:r>
          </w:p>
        </w:tc>
      </w:tr>
      <w:tr>
        <w:trPr>
          <w:trHeight w:val="246" w:hRule="atLeast"/>
        </w:trPr>
        <w:tc>
          <w:tcPr>
            <w:tcW w:w="14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Муниципальная программа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273920,3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56928,1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47835,0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52458,0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57771,9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58927,3</w:t>
            </w:r>
          </w:p>
        </w:tc>
      </w:tr>
      <w:tr>
        <w:trPr>
          <w:trHeight w:val="276" w:hRule="atLeast"/>
        </w:trPr>
        <w:tc>
          <w:tcPr>
            <w:tcW w:w="14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1: «Развитие физической культуры и массового спорта»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253260,2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51469,0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45471,6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50087,6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52590,1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53641,9</w:t>
            </w:r>
          </w:p>
        </w:tc>
      </w:tr>
      <w:tr>
        <w:trPr>
          <w:trHeight w:val="261" w:hRule="atLeast"/>
        </w:trPr>
        <w:tc>
          <w:tcPr>
            <w:tcW w:w="14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  <w:highlight w:val="yellow"/>
              </w:rPr>
            </w:pPr>
            <w:r>
              <w:rPr>
                <w:sz w:val="24"/>
                <w:szCs w:val="24"/>
                <w:highlight w:val="yellow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2: «Развитие спорта высших достижений и системы подготовки спортивного резерва»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2205,9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458,9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468,1</w:t>
            </w:r>
          </w:p>
        </w:tc>
      </w:tr>
      <w:tr>
        <w:trPr>
          <w:trHeight w:val="261" w:hRule="atLeast"/>
        </w:trPr>
        <w:tc>
          <w:tcPr>
            <w:tcW w:w="14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3: «Обеспечение реализации муниципальной программы»</w:t>
            </w:r>
          </w:p>
        </w:tc>
        <w:tc>
          <w:tcPr>
            <w:tcW w:w="1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18454,2</w:t>
            </w:r>
          </w:p>
        </w:tc>
        <w:tc>
          <w:tcPr>
            <w:tcW w:w="1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5032,8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1937,1</w:t>
            </w:r>
          </w:p>
        </w:tc>
        <w:tc>
          <w:tcPr>
            <w:tcW w:w="10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1944,1</w:t>
            </w:r>
          </w:p>
        </w:tc>
        <w:tc>
          <w:tcPr>
            <w:tcW w:w="10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4722,9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4817,3</w:t>
            </w:r>
          </w:p>
        </w:tc>
      </w:tr>
    </w:tbl>
    <w:p>
      <w:pPr>
        <w:pStyle w:val="Normal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 xml:space="preserve">» </w:t>
      </w:r>
    </w:p>
    <w:p>
      <w:pPr>
        <w:pStyle w:val="Normal"/>
        <w:jc w:val="both"/>
        <w:rPr>
          <w:rFonts w:ascii="Times New Roman" w:hAnsi="Times New Roman"/>
        </w:rPr>
      </w:pPr>
      <w:r>
        <w:rPr>
          <w:rFonts w:cs="Calibri"/>
          <w:sz w:val="24"/>
          <w:szCs w:val="24"/>
        </w:rPr>
        <w:t xml:space="preserve"> </w:t>
      </w:r>
      <w:r>
        <w:rPr>
          <w:sz w:val="24"/>
          <w:szCs w:val="24"/>
        </w:rPr>
        <w:t>1.2. В разделе 2 «Текстовая часть муниципальной программы» :</w:t>
      </w:r>
    </w:p>
    <w:p>
      <w:pPr>
        <w:sectPr>
          <w:headerReference w:type="default" r:id="rId3"/>
          <w:headerReference w:type="first" r:id="rId4"/>
          <w:type w:val="nextPage"/>
          <w:pgSz w:w="11906" w:h="16838"/>
          <w:pgMar w:left="1418" w:right="850" w:header="930" w:top="987" w:footer="0" w:bottom="1118" w:gutter="0"/>
          <w:pgNumType w:fmt="decimal"/>
          <w:formProt w:val="false"/>
          <w:titlePg/>
          <w:textDirection w:val="lrTb"/>
          <w:docGrid w:type="default" w:linePitch="360" w:charSpace="24576"/>
        </w:sectPr>
        <w:pStyle w:val="Normal"/>
        <w:jc w:val="both"/>
        <w:rPr>
          <w:rFonts w:ascii="Times New Roman" w:hAnsi="Times New Roman"/>
        </w:rPr>
      </w:pPr>
      <w:r>
        <w:rPr>
          <w:rFonts w:cs="Calibri"/>
          <w:sz w:val="24"/>
          <w:szCs w:val="24"/>
        </w:rPr>
        <w:t xml:space="preserve"> </w:t>
      </w:r>
    </w:p>
    <w:p>
      <w:pPr>
        <w:pStyle w:val="Normal"/>
        <w:jc w:val="both"/>
        <w:rPr>
          <w:rFonts w:ascii="Times New Roman" w:hAnsi="Times New Roman"/>
        </w:rPr>
      </w:pPr>
      <w:r>
        <w:rPr>
          <w:sz w:val="24"/>
          <w:szCs w:val="24"/>
        </w:rPr>
        <w:t>1.2.1. Таблицу 1 подраздела 2.4. «Перечень основных мероприятий муниципальной программы» изложить в следующей редакции :</w:t>
      </w:r>
    </w:p>
    <w:p>
      <w:pPr>
        <w:pStyle w:val="Normal"/>
        <w:jc w:val="center"/>
        <w:rPr>
          <w:rFonts w:ascii="Times New Roman" w:hAnsi="Times New Roman"/>
        </w:rPr>
      </w:pPr>
      <w:r>
        <w:rPr/>
        <w:t>«Таблица 1. Перечень основных мероприятий муниципальной программы</w:t>
      </w:r>
    </w:p>
    <w:tbl>
      <w:tblPr>
        <w:tblW w:w="15810" w:type="dxa"/>
        <w:jc w:val="left"/>
        <w:tblInd w:w="66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730"/>
        <w:gridCol w:w="2100"/>
        <w:gridCol w:w="1244"/>
        <w:gridCol w:w="2610"/>
        <w:gridCol w:w="1020"/>
        <w:gridCol w:w="1065"/>
        <w:gridCol w:w="1080"/>
        <w:gridCol w:w="1080"/>
        <w:gridCol w:w="1081"/>
        <w:gridCol w:w="1123"/>
      </w:tblGrid>
      <w:tr>
        <w:trPr>
          <w:trHeight w:val="276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2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Источник финансирования</w:t>
            </w:r>
          </w:p>
        </w:tc>
        <w:tc>
          <w:tcPr>
            <w:tcW w:w="1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Сроки выполнения</w:t>
            </w:r>
          </w:p>
        </w:tc>
        <w:tc>
          <w:tcPr>
            <w:tcW w:w="2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исполнитель</w:t>
            </w:r>
          </w:p>
        </w:tc>
        <w:tc>
          <w:tcPr>
            <w:tcW w:w="6449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 финансирования(тыс. руб. по годам</w:t>
            </w:r>
          </w:p>
        </w:tc>
      </w:tr>
      <w:tr>
        <w:trPr>
          <w:trHeight w:val="246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</w:tr>
      <w:tr>
        <w:trPr>
          <w:trHeight w:val="551" w:hRule="atLeast"/>
        </w:trPr>
        <w:tc>
          <w:tcPr>
            <w:tcW w:w="1580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Цель муниципальной программы: создание условий, обеспечивающих возможность гражданам систематически заниматься физической культурой и спортом, повышение конкурентоспособности спортсменов района на межрайонных, областных и всероссийских соревнованиях.</w:t>
            </w:r>
          </w:p>
        </w:tc>
      </w:tr>
      <w:tr>
        <w:trPr>
          <w:trHeight w:val="232" w:hRule="atLeast"/>
        </w:trPr>
        <w:tc>
          <w:tcPr>
            <w:tcW w:w="1580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1 «Развитие физической культуры и массового спорта»</w:t>
            </w:r>
          </w:p>
        </w:tc>
      </w:tr>
      <w:tr>
        <w:trPr>
          <w:trHeight w:val="1599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физкультурно-массовых мероприятий среди различных категорий населения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209,9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207,8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205,4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140,9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142,6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906,6</w:t>
            </w:r>
          </w:p>
        </w:tc>
      </w:tr>
      <w:tr>
        <w:trPr>
          <w:trHeight w:val="215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51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22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Районный бюджет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209,9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207,8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205,4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140,9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142,6</w:t>
            </w:r>
          </w:p>
        </w:tc>
        <w:tc>
          <w:tcPr>
            <w:tcW w:w="11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906,6</w:t>
            </w:r>
          </w:p>
        </w:tc>
      </w:tr>
      <w:tr>
        <w:trPr>
          <w:trHeight w:val="1202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2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Поддержка ветеранского спортивного движения</w:t>
            </w:r>
          </w:p>
        </w:tc>
        <w:tc>
          <w:tcPr>
            <w:tcW w:w="21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13,0</w:t>
            </w:r>
          </w:p>
        </w:tc>
        <w:tc>
          <w:tcPr>
            <w:tcW w:w="10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13,3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13,8</w:t>
            </w:r>
          </w:p>
        </w:tc>
        <w:tc>
          <w:tcPr>
            <w:tcW w:w="10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14,4</w:t>
            </w:r>
          </w:p>
        </w:tc>
        <w:tc>
          <w:tcPr>
            <w:tcW w:w="10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15,0</w:t>
            </w:r>
          </w:p>
        </w:tc>
        <w:tc>
          <w:tcPr>
            <w:tcW w:w="112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69,5</w:t>
            </w:r>
          </w:p>
        </w:tc>
      </w:tr>
      <w:tr>
        <w:trPr>
          <w:trHeight w:val="104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90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76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54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13,0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13,3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13,8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14,4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15,0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69,5</w:t>
            </w:r>
          </w:p>
        </w:tc>
      </w:tr>
      <w:tr>
        <w:trPr>
          <w:trHeight w:val="1695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эффективной работы спортивных сооружений, находящихся в муниципальной собственности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868,5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861,5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865,0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82,3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83,9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2761,2</w:t>
            </w:r>
          </w:p>
        </w:tc>
      </w:tr>
      <w:tr>
        <w:trPr>
          <w:trHeight w:val="246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61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05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868,5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861,5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865,0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82,3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83,9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2761,2</w:t>
            </w:r>
          </w:p>
        </w:tc>
      </w:tr>
      <w:tr>
        <w:trPr>
          <w:trHeight w:val="1692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выполнения МАУ «ФОК в р.п.Шаранга Нижегородской области» муниципального задания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50313,8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44323,4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48935,9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52283,0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53328,7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249184,8</w:t>
            </w:r>
          </w:p>
        </w:tc>
      </w:tr>
      <w:tr>
        <w:trPr>
          <w:trHeight w:val="170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45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21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50313,8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44323,4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48935,9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52283,0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53328,7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249184,8</w:t>
            </w:r>
          </w:p>
        </w:tc>
      </w:tr>
      <w:tr>
        <w:trPr>
          <w:trHeight w:val="536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спортивного праздника посвященного Дню физкультурника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18,5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19,1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90,1</w:t>
            </w:r>
          </w:p>
        </w:tc>
      </w:tr>
      <w:tr>
        <w:trPr>
          <w:trHeight w:val="368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8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44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17,0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17,5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18,5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19,1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90,1</w:t>
            </w:r>
          </w:p>
        </w:tc>
      </w:tr>
      <w:tr>
        <w:trPr>
          <w:trHeight w:val="1695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1.6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по внедрению Всероссийского физкультурно-спортивного комплекса «Готов к труду и обороне»(ГТО)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18,2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18,7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89,4</w:t>
            </w:r>
          </w:p>
        </w:tc>
      </w:tr>
      <w:tr>
        <w:trPr>
          <w:trHeight w:val="230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36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60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18,2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18,7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89,4</w:t>
            </w:r>
          </w:p>
        </w:tc>
      </w:tr>
      <w:tr>
        <w:trPr>
          <w:trHeight w:val="1752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1.7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массового мероприятия «Кросс наций» и легкоатлетического пробега посвященного Дню Победы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15,4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82,4</w:t>
            </w:r>
          </w:p>
        </w:tc>
      </w:tr>
      <w:tr>
        <w:trPr>
          <w:trHeight w:val="230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36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83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15,4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17,6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82,4</w:t>
            </w:r>
          </w:p>
        </w:tc>
      </w:tr>
      <w:tr>
        <w:trPr>
          <w:trHeight w:val="261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1.8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антинаркотических мероприятий в рамках конкурса «Мы выбираем жизнь»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14,2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14,7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15,2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15,8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16,3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76,2</w:t>
            </w:r>
          </w:p>
        </w:tc>
      </w:tr>
      <w:tr>
        <w:trPr>
          <w:trHeight w:val="481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81" w:hRule="atLeast"/>
        </w:trPr>
        <w:tc>
          <w:tcPr>
            <w:tcW w:w="675" w:type="dxa"/>
            <w:vMerge w:val="restart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91" w:hRule="atLeast"/>
        </w:trPr>
        <w:tc>
          <w:tcPr>
            <w:tcW w:w="675" w:type="dxa"/>
            <w:vMerge w:val="continue"/>
            <w:tcBorders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14,2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14,7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15,2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15,8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16,3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76,2</w:t>
            </w:r>
          </w:p>
        </w:tc>
      </w:tr>
      <w:tr>
        <w:trPr>
          <w:trHeight w:val="276" w:hRule="atLeast"/>
        </w:trPr>
        <w:tc>
          <w:tcPr>
            <w:tcW w:w="1580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2 «Развитие спорта высших достижений и системы подготовки спортивного резерва»</w:t>
            </w:r>
          </w:p>
        </w:tc>
      </w:tr>
      <w:tr>
        <w:trPr>
          <w:trHeight w:val="1665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межрайонных, областных соревнований, обеспечение участия спортсменов в официальных соревнованиях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339,5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337,0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334,8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364,3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371,7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1747,3</w:t>
            </w:r>
          </w:p>
        </w:tc>
      </w:tr>
      <w:tr>
        <w:trPr>
          <w:trHeight w:val="200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61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68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339,5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337,0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334,8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364,3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371,7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1747,3</w:t>
            </w:r>
          </w:p>
        </w:tc>
      </w:tr>
      <w:tr>
        <w:trPr>
          <w:trHeight w:val="1699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районных этапов Всероссийских проектов «Лыжня России», «Мини-футбол в школу», «КЭС-баскет»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25,1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26,0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26,7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28,0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28,3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134,1</w:t>
            </w:r>
          </w:p>
        </w:tc>
      </w:tr>
      <w:tr>
        <w:trPr>
          <w:trHeight w:val="245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21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398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25,1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26,0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26,7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28,0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28,3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134,1</w:t>
            </w:r>
          </w:p>
        </w:tc>
      </w:tr>
      <w:tr>
        <w:trPr>
          <w:trHeight w:val="1640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участия сборных команд Шарангского муниципального района в Первенствах северных районов Нижегородской области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2020-2024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40,5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43,2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44,0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211,2</w:t>
            </w:r>
          </w:p>
        </w:tc>
      </w:tr>
      <w:tr>
        <w:trPr>
          <w:trHeight w:val="410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567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674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40,5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41,4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43,2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44,0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211,2</w:t>
            </w:r>
          </w:p>
        </w:tc>
      </w:tr>
      <w:tr>
        <w:trPr>
          <w:trHeight w:val="1815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участия сборных команд Шарангского муниципального района в юношеских Первенствах северных районов Нижегородской области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2015-2019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21,2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21,9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22,7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23,4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24,1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113,3</w:t>
            </w:r>
          </w:p>
        </w:tc>
      </w:tr>
      <w:tr>
        <w:trPr>
          <w:trHeight w:val="456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445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69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21,2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21,9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22,7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23,4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24,1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113,3</w:t>
            </w:r>
          </w:p>
        </w:tc>
      </w:tr>
      <w:tr>
        <w:trPr>
          <w:trHeight w:val="206" w:hRule="atLeast"/>
        </w:trPr>
        <w:tc>
          <w:tcPr>
            <w:tcW w:w="15808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3 «Реализация муниципальной программы»</w:t>
            </w:r>
          </w:p>
        </w:tc>
      </w:tr>
      <w:tr>
        <w:trPr>
          <w:trHeight w:val="245" w:hRule="atLeast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27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 реализации муниципальной программы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Всего, в т.ч.</w:t>
            </w:r>
          </w:p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2015-2019</w:t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5032,8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1937,1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1944,1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4722,9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4817,3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18454,2</w:t>
            </w:r>
          </w:p>
        </w:tc>
      </w:tr>
      <w:tr>
        <w:trPr>
          <w:trHeight w:val="221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Кап. вложения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45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НИОКР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291" w:hRule="atLeast"/>
        </w:trPr>
        <w:tc>
          <w:tcPr>
            <w:tcW w:w="6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3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расходы</w:t>
            </w:r>
          </w:p>
        </w:tc>
        <w:tc>
          <w:tcPr>
            <w:tcW w:w="12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6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5032,8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1937,1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1944,1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4722,9</w:t>
            </w: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4817,3</w:t>
            </w:r>
          </w:p>
        </w:tc>
        <w:tc>
          <w:tcPr>
            <w:tcW w:w="1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18454,2</w:t>
            </w:r>
          </w:p>
        </w:tc>
      </w:tr>
    </w:tbl>
    <w:p>
      <w:pPr>
        <w:pStyle w:val="Normal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»</w:t>
      </w:r>
    </w:p>
    <w:p>
      <w:pPr>
        <w:pStyle w:val="Normal"/>
        <w:jc w:val="both"/>
        <w:rPr>
          <w:rFonts w:ascii="Times New Roman" w:hAnsi="Times New Roman"/>
        </w:rPr>
      </w:pPr>
      <w:r>
        <w:rPr>
          <w:sz w:val="24"/>
          <w:szCs w:val="24"/>
        </w:rPr>
        <w:t>1.2.2. Таблицу подраздела 2.7. «Ресурсное обеспечение реализации муниципальной программы за счет средств районного бюджета» изложить в следующей редакции:</w:t>
      </w:r>
    </w:p>
    <w:p>
      <w:pPr>
        <w:pStyle w:val="Normal"/>
        <w:ind w:left="0" w:right="0" w:hanging="0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«</w:t>
      </w:r>
    </w:p>
    <w:tbl>
      <w:tblPr>
        <w:tblW w:w="15840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5"/>
        <w:gridCol w:w="2729"/>
        <w:gridCol w:w="3195"/>
        <w:gridCol w:w="1425"/>
        <w:gridCol w:w="1350"/>
        <w:gridCol w:w="1426"/>
        <w:gridCol w:w="1530"/>
        <w:gridCol w:w="1408"/>
      </w:tblGrid>
      <w:tr>
        <w:trPr>
          <w:trHeight w:val="307" w:hRule="atLeast"/>
        </w:trPr>
        <w:tc>
          <w:tcPr>
            <w:tcW w:w="27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Статус</w:t>
            </w:r>
          </w:p>
        </w:tc>
        <w:tc>
          <w:tcPr>
            <w:tcW w:w="2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Подпрограмма муниципальной программы</w:t>
            </w:r>
          </w:p>
        </w:tc>
        <w:tc>
          <w:tcPr>
            <w:tcW w:w="319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Муниципальный заказчик-координатор, исполнители</w:t>
            </w:r>
          </w:p>
        </w:tc>
        <w:tc>
          <w:tcPr>
            <w:tcW w:w="713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Расходы районного бюджета (тыс. руб.), годы</w:t>
            </w:r>
          </w:p>
        </w:tc>
      </w:tr>
      <w:tr>
        <w:trPr>
          <w:trHeight w:val="248" w:hRule="atLeast"/>
        </w:trPr>
        <w:tc>
          <w:tcPr>
            <w:tcW w:w="27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7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19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>
        <w:trPr>
          <w:trHeight w:val="232" w:hRule="atLeast"/>
        </w:trPr>
        <w:tc>
          <w:tcPr>
            <w:tcW w:w="27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2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>
        <w:trPr>
          <w:trHeight w:val="346" w:hRule="atLeast"/>
        </w:trPr>
        <w:tc>
          <w:tcPr>
            <w:tcW w:w="27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Муниципальная программа «Развитие физической культуры и спорта Шарангского муниципального района»</w:t>
            </w:r>
          </w:p>
        </w:tc>
        <w:tc>
          <w:tcPr>
            <w:tcW w:w="2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56928,1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47835,0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52458,0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57771,9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58927,3</w:t>
            </w:r>
          </w:p>
        </w:tc>
      </w:tr>
      <w:tr>
        <w:trPr>
          <w:trHeight w:val="1011" w:hRule="atLeast"/>
        </w:trPr>
        <w:tc>
          <w:tcPr>
            <w:tcW w:w="27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7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 Нижегородской области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56928,1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47835,0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52458,0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57771,9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58927,3</w:t>
            </w:r>
          </w:p>
        </w:tc>
      </w:tr>
      <w:tr>
        <w:trPr>
          <w:trHeight w:val="293" w:hRule="atLeast"/>
        </w:trPr>
        <w:tc>
          <w:tcPr>
            <w:tcW w:w="27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Подпрограмма 1</w:t>
            </w:r>
          </w:p>
        </w:tc>
        <w:tc>
          <w:tcPr>
            <w:tcW w:w="2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«Развитие физической культуры и массового спорта»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51469,0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45471,6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50087,6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52590,1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53641,9</w:t>
            </w:r>
          </w:p>
        </w:tc>
      </w:tr>
      <w:tr>
        <w:trPr>
          <w:trHeight w:val="460" w:hRule="atLeast"/>
        </w:trPr>
        <w:tc>
          <w:tcPr>
            <w:tcW w:w="27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7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 Нижегородской области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51469,0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45471,6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50087,6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52590,1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53641,9</w:t>
            </w:r>
          </w:p>
        </w:tc>
      </w:tr>
      <w:tr>
        <w:trPr>
          <w:trHeight w:val="254" w:hRule="atLeast"/>
        </w:trPr>
        <w:tc>
          <w:tcPr>
            <w:tcW w:w="27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Подпрограмма 2</w:t>
            </w:r>
          </w:p>
        </w:tc>
        <w:tc>
          <w:tcPr>
            <w:tcW w:w="2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«Развитие спорта высших достижений и системы подготовки спортивного резерва»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458,9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468,1</w:t>
            </w:r>
          </w:p>
        </w:tc>
      </w:tr>
      <w:tr>
        <w:trPr>
          <w:trHeight w:val="567" w:hRule="atLeast"/>
        </w:trPr>
        <w:tc>
          <w:tcPr>
            <w:tcW w:w="27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7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 Нижегородской области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458,9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468,1</w:t>
            </w:r>
          </w:p>
        </w:tc>
      </w:tr>
      <w:tr>
        <w:trPr>
          <w:trHeight w:val="402" w:hRule="atLeast"/>
        </w:trPr>
        <w:tc>
          <w:tcPr>
            <w:tcW w:w="27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Подпрограмма 3</w:t>
            </w:r>
          </w:p>
        </w:tc>
        <w:tc>
          <w:tcPr>
            <w:tcW w:w="27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«Обеспечение реализации муниципальной программы»</w:t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5032,8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1937,1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1944,1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4722,9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4817,3</w:t>
            </w:r>
          </w:p>
        </w:tc>
      </w:tr>
      <w:tr>
        <w:trPr>
          <w:trHeight w:val="583" w:hRule="atLeast"/>
        </w:trPr>
        <w:tc>
          <w:tcPr>
            <w:tcW w:w="277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272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0" w:right="0" w:hanging="0"/>
              <w:jc w:val="center"/>
              <w:rPr>
                <w:rFonts w:ascii="Times New Roman" w:hAnsi="Times New Roman"/>
                <w:b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</w:r>
          </w:p>
        </w:tc>
        <w:tc>
          <w:tcPr>
            <w:tcW w:w="3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Сектор по физической культуре и спорту администрации Шарангского муниципального района Нижегородской области</w:t>
            </w:r>
          </w:p>
        </w:tc>
        <w:tc>
          <w:tcPr>
            <w:tcW w:w="1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5032,8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1937,1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1944,1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4722,9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0" w:right="0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4817,3</w:t>
            </w:r>
          </w:p>
        </w:tc>
      </w:tr>
    </w:tbl>
    <w:p>
      <w:pPr>
        <w:sectPr>
          <w:headerReference w:type="default" r:id="rId5"/>
          <w:type w:val="nextPage"/>
          <w:pgSz w:orient="landscape" w:w="16838" w:h="11906"/>
          <w:pgMar w:left="540" w:right="428" w:header="1134" w:top="1648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Normal"/>
        <w:ind w:left="0" w:right="0" w:hanging="0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»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1.3. В разделе 3. «Подпрограммы муниципальной программы»: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1) позицию «Объемы бюджетных ассигнований Подпрограммы 1 за счет средств районного бюджета (тыс. рублей)» пункта 3.1.1. «Паспорта Подпрограммы 1» подраздела 3.1. «Подпрограммы «Развитие физической культуры и массового спорта» изложить в следующей редакции: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«</w:t>
      </w:r>
    </w:p>
    <w:tbl>
      <w:tblPr>
        <w:tblW w:w="9630" w:type="dxa"/>
        <w:jc w:val="left"/>
        <w:tblInd w:w="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20"/>
        <w:gridCol w:w="1245"/>
        <w:gridCol w:w="1065"/>
        <w:gridCol w:w="1170"/>
        <w:gridCol w:w="929"/>
        <w:gridCol w:w="976"/>
        <w:gridCol w:w="1124"/>
      </w:tblGrid>
      <w:tr>
        <w:trPr>
          <w:trHeight w:val="320" w:hRule="atLeast"/>
        </w:trPr>
        <w:tc>
          <w:tcPr>
            <w:tcW w:w="31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Объемы бюджетных ассигнований Подпрограммы 1 за счет средств районного бюджета (тыс. рублей)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>
        <w:trPr>
          <w:trHeight w:val="224" w:hRule="atLeast"/>
        </w:trPr>
        <w:tc>
          <w:tcPr>
            <w:tcW w:w="312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-76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253260,2</w:t>
            </w:r>
          </w:p>
        </w:tc>
        <w:tc>
          <w:tcPr>
            <w:tcW w:w="10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51469,0</w:t>
            </w:r>
          </w:p>
        </w:tc>
        <w:tc>
          <w:tcPr>
            <w:tcW w:w="11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45471,6</w:t>
            </w:r>
          </w:p>
        </w:tc>
        <w:tc>
          <w:tcPr>
            <w:tcW w:w="9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50087,6</w:t>
            </w:r>
          </w:p>
        </w:tc>
        <w:tc>
          <w:tcPr>
            <w:tcW w:w="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52590,1</w:t>
            </w:r>
          </w:p>
        </w:tc>
        <w:tc>
          <w:tcPr>
            <w:tcW w:w="1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53641,9</w:t>
            </w:r>
          </w:p>
        </w:tc>
      </w:tr>
    </w:tbl>
    <w:p>
      <w:pPr>
        <w:pStyle w:val="Normal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»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2) в пункте 3.1.2. «Текстовая часть Подпрограммы 1»: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Подпункт 3.1.2.6. «Обоснование объема финансовых ресурсов» изложить в следующей редакции: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«3.1.2.6. Обоснование объема финансирования ресурсов</w:t>
      </w:r>
    </w:p>
    <w:p>
      <w:pPr>
        <w:pStyle w:val="Normal"/>
        <w:ind w:left="0" w:right="0" w:firstLine="567"/>
        <w:jc w:val="both"/>
        <w:rPr>
          <w:rFonts w:ascii="Times New Roman" w:hAnsi="Times New Roman"/>
        </w:rPr>
      </w:pPr>
      <w:r>
        <w:rPr>
          <w:sz w:val="24"/>
          <w:szCs w:val="24"/>
        </w:rPr>
        <w:t>Объем финансирования Подпрограммы 1 на весь период ее реализации составляет 253260,2 тысяч рублей, в том числе в 2020 году – 51469,0 тысяч рублей, в 2021 году 45471,6 тысяч рублей, в 2022 году – 50087,6 тысяч рублей, в 2023 году – 52590,1 тысяч рублей, в 2024 году – 53641,9 тысяч рублей. Подпрограмма 1 финансируется из районного бюджета.</w:t>
      </w:r>
    </w:p>
    <w:p>
      <w:pPr>
        <w:pStyle w:val="Normal"/>
        <w:ind w:left="0" w:right="0" w:firstLine="567"/>
        <w:jc w:val="both"/>
        <w:rPr>
          <w:rFonts w:ascii="Times New Roman" w:hAnsi="Times New Roman"/>
        </w:rPr>
      </w:pPr>
      <w:r>
        <w:rPr>
          <w:sz w:val="24"/>
          <w:szCs w:val="24"/>
        </w:rPr>
        <w:t>Объем финансирования Подпрограммы 1 за счет средств районного бюджета может ежегодно корректироваться в соответствии с возможностями районного бюджета на соответствующий финансовый год.»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3) позицию «Объемы бюджетных ассигнований Подпрограммы 2 за счет средств районного бюджета (тыс. рублей)» пункта 3.2.1. «Паспорта Подпрограммы 2» подраздела 3.2. «Подпрограммы «Развитие спорта высших достижений и системы подготовки спортивного резерва» изложить в следующей редакции: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«</w:t>
      </w:r>
    </w:p>
    <w:tbl>
      <w:tblPr>
        <w:tblW w:w="9630" w:type="dxa"/>
        <w:jc w:val="left"/>
        <w:tblInd w:w="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59"/>
        <w:gridCol w:w="1141"/>
        <w:gridCol w:w="960"/>
        <w:gridCol w:w="960"/>
        <w:gridCol w:w="915"/>
        <w:gridCol w:w="794"/>
        <w:gridCol w:w="900"/>
      </w:tblGrid>
      <w:tr>
        <w:trPr>
          <w:trHeight w:val="320" w:hRule="atLeast"/>
        </w:trPr>
        <w:tc>
          <w:tcPr>
            <w:tcW w:w="39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Объемы бюджетных ассигнований Подпрограммы 2 за счет средств районного бюджета (тыс. рублей)</w:t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>
        <w:trPr>
          <w:trHeight w:val="224" w:hRule="atLeast"/>
        </w:trPr>
        <w:tc>
          <w:tcPr>
            <w:tcW w:w="39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-76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2205,9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426,3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458,9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468,1</w:t>
            </w:r>
          </w:p>
        </w:tc>
      </w:tr>
    </w:tbl>
    <w:p>
      <w:pPr>
        <w:pStyle w:val="Normal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»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4) в пункте 3.2.2. «Текстовая часть Подпрограммы 2»: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Подпункт 3.2.2.7. «Обоснование объемов финансирования» изложить в следующей редакции:</w:t>
      </w:r>
    </w:p>
    <w:p>
      <w:pPr>
        <w:pStyle w:val="Normal"/>
        <w:spacing w:lineRule="auto" w:line="240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«3.2.2.7. Обоснование объемов финансирования</w:t>
      </w:r>
    </w:p>
    <w:p>
      <w:pPr>
        <w:pStyle w:val="Normal"/>
        <w:spacing w:lineRule="auto" w:line="240"/>
        <w:ind w:left="0" w:right="0" w:firstLine="567"/>
        <w:jc w:val="both"/>
        <w:rPr>
          <w:rFonts w:ascii="Times New Roman" w:hAnsi="Times New Roman"/>
        </w:rPr>
      </w:pPr>
      <w:r>
        <w:rPr>
          <w:sz w:val="24"/>
          <w:szCs w:val="24"/>
        </w:rPr>
        <w:t xml:space="preserve">Объем финансирования из районного бюджета Подпрограммы 2 на весь период ее реализации составляет 2205,9 тысяч рублей, в том числе в 2020 году – 426,3 тысяч рублей, в 2021 году – 426,3 тысяч рублей, в 2022 году – 426,3 тысяч рублей, в 2023 году – 458,9 тысяч рублей, в 2024 году – 468,1 тысяч рублей. </w:t>
      </w:r>
    </w:p>
    <w:p>
      <w:pPr>
        <w:pStyle w:val="Normal"/>
        <w:spacing w:lineRule="auto" w:line="240"/>
        <w:ind w:left="0" w:right="0" w:firstLine="567"/>
        <w:jc w:val="both"/>
        <w:rPr>
          <w:rFonts w:ascii="Times New Roman" w:hAnsi="Times New Roman"/>
        </w:rPr>
      </w:pPr>
      <w:r>
        <w:rPr>
          <w:sz w:val="24"/>
          <w:szCs w:val="24"/>
        </w:rPr>
        <w:t>Объем финансирования Подпрограммы 2 могут корректироваться в соответствии с возможностями районного бюджета на соответствующий финансовый год.»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5) позицию «Объемы бюджетных ассигнований Подпрограммы 3 за счет средств районного бюджета (тыс. рублей)» пункта 4.1. «Паспорта Подпрограммы 3» подраздела 4. «Подпрограммы «Обеспечение реализации муниципальной программы» изложить в следующей редакции:</w:t>
      </w:r>
    </w:p>
    <w:p>
      <w:pPr>
        <w:pStyle w:val="Normal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«</w:t>
      </w:r>
    </w:p>
    <w:tbl>
      <w:tblPr>
        <w:tblW w:w="9600" w:type="dxa"/>
        <w:jc w:val="left"/>
        <w:tblInd w:w="37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24"/>
        <w:gridCol w:w="1080"/>
        <w:gridCol w:w="1021"/>
        <w:gridCol w:w="899"/>
        <w:gridCol w:w="915"/>
        <w:gridCol w:w="901"/>
        <w:gridCol w:w="959"/>
      </w:tblGrid>
      <w:tr>
        <w:trPr>
          <w:trHeight w:val="320" w:hRule="atLeast"/>
        </w:trPr>
        <w:tc>
          <w:tcPr>
            <w:tcW w:w="3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Объемы бюджетных ассигнований Подпрограммы 3 за счет средств районного бюджета (тыс. рублей)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2023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2024</w:t>
            </w:r>
          </w:p>
        </w:tc>
      </w:tr>
      <w:tr>
        <w:trPr>
          <w:trHeight w:val="224" w:hRule="atLeast"/>
        </w:trPr>
        <w:tc>
          <w:tcPr>
            <w:tcW w:w="382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snapToGrid w:val="false"/>
              <w:ind w:left="-76" w:hanging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18454,2</w:t>
            </w:r>
          </w:p>
        </w:tc>
        <w:tc>
          <w:tcPr>
            <w:tcW w:w="10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5032,8</w:t>
            </w:r>
          </w:p>
        </w:tc>
        <w:tc>
          <w:tcPr>
            <w:tcW w:w="8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1937,1</w:t>
            </w:r>
          </w:p>
        </w:tc>
        <w:tc>
          <w:tcPr>
            <w:tcW w:w="9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1944,1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4722,9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ind w:left="-76" w:hanging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4817,3</w:t>
            </w:r>
          </w:p>
        </w:tc>
      </w:tr>
    </w:tbl>
    <w:p>
      <w:pPr>
        <w:pStyle w:val="Normal"/>
        <w:jc w:val="right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»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6) в пункте 4.2. «Текстовая часть Подпрограммы 3»:</w:t>
      </w:r>
    </w:p>
    <w:p>
      <w:pPr>
        <w:pStyle w:val="Normal"/>
        <w:spacing w:lineRule="auto" w:line="360"/>
        <w:ind w:left="0" w:right="0" w:firstLine="709"/>
        <w:jc w:val="both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Подпункт 4.2.7. «Обоснование объемов финансирования Подпрограммы 3» изложить в следующей редакции: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4"/>
          <w:szCs w:val="24"/>
        </w:rPr>
      </w:pPr>
      <w:r>
        <w:rPr>
          <w:sz w:val="24"/>
          <w:szCs w:val="24"/>
        </w:rPr>
        <w:t>«4.2.7. Обоснование объемов финансирования Подпрограммы 3</w:t>
      </w:r>
    </w:p>
    <w:p>
      <w:pPr>
        <w:pStyle w:val="Normal"/>
        <w:ind w:left="0" w:right="0" w:firstLine="567"/>
        <w:jc w:val="both"/>
        <w:rPr>
          <w:rFonts w:ascii="Times New Roman" w:hAnsi="Times New Roman"/>
        </w:rPr>
      </w:pPr>
      <w:r>
        <w:rPr>
          <w:sz w:val="24"/>
          <w:szCs w:val="24"/>
        </w:rPr>
        <w:t>Объем финансирования Подпрограммы 3 на весь период ее реализации составляет 18454,2 тысяч рублей, в том числе в 2020 году – 5032,8 тысяч рублей, в 2021 году 1937,1 тысяч рублей, в 2022 году – 1944,1 тысяч рублей, в 2023 году – 4722,9 тысяч рублей, в 2024 году – 4817,3 тысяч рублей. Подпрограмма 3 финансируется из районного бюджета.</w:t>
      </w:r>
    </w:p>
    <w:p>
      <w:pPr>
        <w:pStyle w:val="Normal"/>
        <w:ind w:left="0" w:right="0"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cs="Times New Roman"/>
          <w:b w:val="false"/>
          <w:sz w:val="24"/>
          <w:szCs w:val="24"/>
        </w:rPr>
        <w:t>Объем финансирования Подпрограммы 3 могут корректироваться в соответствии с возможностями районного бюджета на соответствующий финансовый год.».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  <w:tab/>
        <w:t>О.Л.Зыков</w:t>
      </w:r>
    </w:p>
    <w:sectPr>
      <w:headerReference w:type="default" r:id="rId6"/>
      <w:type w:val="nextPage"/>
      <w:pgSz w:w="11906" w:h="16838"/>
      <w:pgMar w:left="1418" w:right="850" w:header="930" w:top="987" w:footer="0" w:bottom="1118" w:gutter="0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8</w:t>
    </w:r>
    <w:r>
      <w:rPr/>
      <w:fldChar w:fldCharType="end"/>
    </w:r>
  </w:p>
</w:hdr>
</file>

<file path=word/header4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10</w:t>
    </w:r>
    <w:r>
      <w:rPr/>
      <w:fldChar w:fldCharType="end"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header" Target="header3.xml"/><Relationship Id="rId6" Type="http://schemas.openxmlformats.org/officeDocument/2006/relationships/header" Target="header4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Application>LibreOffice/6.3.4.2$Windows_X86_64 LibreOffice_project/60da17e045e08f1793c57c00ba83cdfce946d0aa</Application>
  <Pages>10</Pages>
  <Words>1492</Words>
  <Characters>9916</Characters>
  <CharactersWithSpaces>10954</CharactersWithSpaces>
  <Paragraphs>478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2020-03-13T11:18:16Z</cp:lastPrinted>
  <dcterms:modified xsi:type="dcterms:W3CDTF">2020-03-13T11:18:26Z</dcterms:modified>
  <cp:revision>80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