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10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110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20" w:right="1020" w:hanging="0"/>
        <w:jc w:val="center"/>
        <w:rPr/>
      </w:pPr>
      <w:r>
        <w:rPr>
          <w:b/>
          <w:sz w:val="28"/>
          <w:szCs w:val="28"/>
        </w:rPr>
        <w:t>О внесении изменений в муниципальную программу «Обеспечение граждан Шарангского района доступным и комфортным жильем на период 2018-2020 годы», утвержденную постановлением администрации Шарангского муниципального района от 22.08.2017 № 420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 соответствии с Уставом Шарангского муниципального района, в целях приведения в соответствии с решением Земского собрания Шарангского муниципального района от 20.12.2019 № 50 «О районном бюджете на 2020год и плановый период 2021-2022 годов» администрация Шарангского муниципального района </w:t>
      </w:r>
      <w:r>
        <w:rPr>
          <w:rFonts w:cs="Times New Roman" w:ascii="Times New Roman" w:hAnsi="Times New Roman"/>
          <w:b/>
          <w:bCs/>
          <w:sz w:val="28"/>
          <w:szCs w:val="28"/>
        </w:rPr>
        <w:t>п о с т а н о в л я е т:</w:t>
      </w:r>
    </w:p>
    <w:p>
      <w:pPr>
        <w:pStyle w:val="ConsPlusNormal"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Внести в муниципальную программу «Обеспечение граждан Шарангского района доступным и комфортным жильем на период 2018-2020 годы», утвержденную постановлением администрации Шарангского муниципального района от 22.08.2017 № 420 (далее – Программа), следующие изменения:</w:t>
      </w:r>
    </w:p>
    <w:p>
      <w:pPr>
        <w:pStyle w:val="ConsPlusNormal"/>
        <w:spacing w:lineRule="auto" w:line="36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1. </w:t>
      </w:r>
      <w:r>
        <w:rPr>
          <w:rFonts w:cs="Times New Roman" w:ascii="Times New Roman" w:hAnsi="Times New Roman"/>
          <w:sz w:val="28"/>
          <w:szCs w:val="28"/>
        </w:rPr>
        <w:t>В Паспорте Программы пункт 1.9. «Объемы и источники финансирования Программы» изложить в следующей редакции:</w:t>
      </w:r>
    </w:p>
    <w:p>
      <w:pPr>
        <w:pStyle w:val="Normal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</w:p>
    <w:tbl>
      <w:tblPr>
        <w:tblW w:w="950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273"/>
        <w:gridCol w:w="1276"/>
        <w:gridCol w:w="1275"/>
        <w:gridCol w:w="1276"/>
        <w:gridCol w:w="1428"/>
      </w:tblGrid>
      <w:tr>
        <w:trPr>
          <w:trHeight w:val="360" w:hRule="atLeast"/>
        </w:trPr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1"/>
                <w:numId w:val="3"/>
              </w:numPr>
              <w:ind w:left="0" w:right="0" w:hanging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Объемы и источники финансирования Программы</w:t>
            </w:r>
          </w:p>
        </w:tc>
        <w:tc>
          <w:tcPr>
            <w:tcW w:w="75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тысяч рублей</w:t>
            </w:r>
          </w:p>
        </w:tc>
      </w:tr>
      <w:tr>
        <w:trPr>
          <w:trHeight w:val="405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108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52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Cell"/>
              <w:tabs>
                <w:tab w:val="clear" w:pos="709"/>
                <w:tab w:val="left" w:pos="1026" w:leader="none"/>
                <w:tab w:val="left" w:pos="1309" w:leader="none"/>
                <w:tab w:val="left" w:pos="1451" w:leader="none"/>
              </w:tabs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Годы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108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 за период реализации Программы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295,738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241,300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121,5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658,538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Областной бюджет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404,997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655,400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211,6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1271,997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Местный бюджет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821,405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234,000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502,1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1557,505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Прочие источники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right="0" w:hanging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Всего по Программе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1 522,140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1 130,700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835,2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ind w:left="0" w:right="0"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3488,04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0" w:right="0" w:hanging="0"/>
              <w:jc w:val="both"/>
              <w:outlineLvl w:val="1"/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>
              <w:rPr>
                <w:rFonts w:cs="Times New Roman" w:ascii="Times New Roman" w:hAnsi="Times New Roman"/>
                <w:color w:val="FF0000"/>
                <w:sz w:val="24"/>
                <w:szCs w:val="24"/>
                <w:highlight w:val="yellow"/>
              </w:rPr>
            </w:r>
          </w:p>
        </w:tc>
        <w:tc>
          <w:tcPr>
            <w:tcW w:w="75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Cell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Ежегодные объемы финансирования мероприятий Программы за счет средств бюджетов всех уровней будут уточняться исходя из возможностей соответствующих бюджетов на плановый период</w:t>
            </w:r>
          </w:p>
        </w:tc>
      </w:tr>
    </w:tbl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tabs>
          <w:tab w:val="clear" w:pos="709"/>
          <w:tab w:val="left" w:pos="8080" w:leader="none"/>
        </w:tabs>
        <w:ind w:left="0" w:right="0" w:hanging="0"/>
        <w:jc w:val="right"/>
        <w:rPr>
          <w:sz w:val="24"/>
          <w:szCs w:val="24"/>
        </w:rPr>
      </w:pPr>
      <w:r>
        <w:rPr>
          <w:rFonts w:cs="Times New Roman"/>
          <w:b w:val="false"/>
          <w:sz w:val="24"/>
          <w:szCs w:val="24"/>
        </w:rPr>
        <w:t>»</w:t>
      </w:r>
    </w:p>
    <w:p>
      <w:pPr>
        <w:pStyle w:val="ConsPlusNormal"/>
        <w:spacing w:lineRule="auto" w:line="276"/>
        <w:ind w:lef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2. </w:t>
      </w:r>
      <w:r>
        <w:rPr>
          <w:rFonts w:cs="Times New Roman" w:ascii="Times New Roman" w:hAnsi="Times New Roman"/>
          <w:sz w:val="28"/>
          <w:szCs w:val="28"/>
        </w:rPr>
        <w:t>Пункт 2.5. «Система Программных мероприятий» изложить в следующей редакции:</w:t>
      </w:r>
    </w:p>
    <w:p>
      <w:pPr>
        <w:pStyle w:val="ConsPlusNormal"/>
        <w:spacing w:lineRule="auto" w:line="276"/>
        <w:ind w:left="1410"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«2.5. Система Программных мероприятий</w:t>
      </w:r>
    </w:p>
    <w:tbl>
      <w:tblPr>
        <w:tblW w:w="1558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2835"/>
        <w:gridCol w:w="1560"/>
        <w:gridCol w:w="3105"/>
        <w:gridCol w:w="2235"/>
        <w:gridCol w:w="1080"/>
        <w:gridCol w:w="1140"/>
        <w:gridCol w:w="1245"/>
        <w:gridCol w:w="1185"/>
      </w:tblGrid>
      <w:tr>
        <w:trPr/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№ </w:t>
            </w:r>
            <w:r>
              <w:rPr>
                <w:rFonts w:cs="Times New Roman" w:ascii="Times New Roman" w:hAnsi="Times New Roman"/>
              </w:rPr>
              <w:t>п/п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мероприятия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Сроки выполнения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Исполнители мероприятий</w:t>
            </w:r>
          </w:p>
        </w:tc>
        <w:tc>
          <w:tcPr>
            <w:tcW w:w="68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Источники финансирования, тыс.руб.</w:t>
            </w:r>
          </w:p>
        </w:tc>
      </w:tr>
      <w:tr>
        <w:trPr/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Годы: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2019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09"/>
                <w:tab w:val="left" w:pos="36" w:leader="none"/>
              </w:tabs>
              <w:ind w:left="36" w:right="175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2020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</w:t>
            </w:r>
          </w:p>
        </w:tc>
      </w:tr>
      <w:tr>
        <w:trPr/>
        <w:tc>
          <w:tcPr>
            <w:tcW w:w="870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Цель Программы: обеспечение доступным и комфортным жильем граждан, проживающих на территории Шарангского района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1 522,140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1 130,700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835,2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3488,04</w:t>
            </w:r>
          </w:p>
        </w:tc>
      </w:tr>
      <w:tr>
        <w:trPr/>
        <w:tc>
          <w:tcPr>
            <w:tcW w:w="870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cs="Times New Roman" w:ascii="Times New Roman" w:hAnsi="Times New Roman"/>
                <w:highlight w:val="yellow"/>
              </w:rPr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295,738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241,300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121,5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658,538</w:t>
            </w:r>
          </w:p>
        </w:tc>
      </w:tr>
      <w:tr>
        <w:trPr/>
        <w:tc>
          <w:tcPr>
            <w:tcW w:w="870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404,997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655,400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211,6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1271,997</w:t>
            </w:r>
          </w:p>
        </w:tc>
      </w:tr>
      <w:tr>
        <w:trPr/>
        <w:tc>
          <w:tcPr>
            <w:tcW w:w="870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firstLine="3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821,405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234,000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502,1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/>
            </w:pPr>
            <w:r>
              <w:rPr>
                <w:rFonts w:cs="Times New Roman" w:ascii="Times New Roman" w:hAnsi="Times New Roman"/>
              </w:rPr>
              <w:t>1557,505</w:t>
            </w:r>
          </w:p>
        </w:tc>
      </w:tr>
      <w:tr>
        <w:trPr/>
        <w:tc>
          <w:tcPr>
            <w:tcW w:w="870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6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55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Подпрограмма «Обеспечение жильем молодых семей в Шарангском районе на период 2018-2020 годы»</w:t>
            </w:r>
          </w:p>
        </w:tc>
      </w:tr>
      <w:tr>
        <w:trPr/>
        <w:tc>
          <w:tcPr>
            <w:tcW w:w="40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Задача 1: 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2018-2020 годы</w:t>
            </w:r>
          </w:p>
        </w:tc>
        <w:tc>
          <w:tcPr>
            <w:tcW w:w="31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firstLine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 Шарангского муниципального района,</w:t>
            </w:r>
          </w:p>
          <w:p>
            <w:pPr>
              <w:pStyle w:val="ConsPlusCell"/>
              <w:ind w:firstLine="324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финансовое управление администрации Шарангского муниципального района,</w:t>
            </w:r>
          </w:p>
          <w:p>
            <w:pPr>
              <w:pStyle w:val="ConsPlusNormal"/>
              <w:ind w:firstLine="46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банк, отобранный в установленном порядке министерством социальной политики Нижегородской области для обслуживания средств, предусмотренных на предоставление социальных выплат (по согласованию)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1 039,500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993,300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705,4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3065,52</w:t>
            </w:r>
          </w:p>
        </w:tc>
      </w:tr>
      <w:tr>
        <w:trPr/>
        <w:tc>
          <w:tcPr>
            <w:tcW w:w="403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1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300,949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241,300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121,5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663,749</w:t>
            </w:r>
          </w:p>
        </w:tc>
      </w:tr>
      <w:tr>
        <w:trPr/>
        <w:tc>
          <w:tcPr>
            <w:tcW w:w="403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1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3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221,565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594,000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157,6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1100,485</w:t>
            </w:r>
          </w:p>
        </w:tc>
      </w:tr>
      <w:tr>
        <w:trPr/>
        <w:tc>
          <w:tcPr>
            <w:tcW w:w="403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1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516,986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158,000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426,3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/>
            </w:pPr>
            <w:r>
              <w:rPr>
                <w:rFonts w:cs="Times New Roman" w:ascii="Times New Roman" w:hAnsi="Times New Roman"/>
              </w:rPr>
              <w:t>1301,286</w:t>
            </w:r>
          </w:p>
        </w:tc>
      </w:tr>
      <w:tr>
        <w:trPr/>
        <w:tc>
          <w:tcPr>
            <w:tcW w:w="403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1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firstLine="110"/>
              <w:jc w:val="center"/>
              <w:rPr/>
            </w:pPr>
            <w:r>
              <w:rPr/>
              <w:t>0,00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55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Подпрограмма «Ипотечное жилищное кредитование населения Шарангского района на период 2018-2020 годы»</w:t>
            </w:r>
          </w:p>
        </w:tc>
      </w:tr>
      <w:tr>
        <w:trPr/>
        <w:tc>
          <w:tcPr>
            <w:tcW w:w="40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Задача 2: оказание государственной поддержки гражданам Шарангского района в решении жилищной проблемы </w:t>
            </w:r>
          </w:p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 использованием ипотечного жилищного кредитования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2018-2020 годы</w:t>
            </w:r>
          </w:p>
        </w:tc>
        <w:tc>
          <w:tcPr>
            <w:tcW w:w="31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 Шарангского муниципального района,</w:t>
            </w:r>
          </w:p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финансовое управление администрации Шарангского муниципального района,</w:t>
            </w:r>
          </w:p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сбербанк (по согласованию)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155,320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137,400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129,8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422,52</w:t>
            </w:r>
          </w:p>
        </w:tc>
      </w:tr>
      <w:tr>
        <w:trPr/>
        <w:tc>
          <w:tcPr>
            <w:tcW w:w="403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cs="Times New Roman" w:ascii="Times New Roman" w:hAnsi="Times New Roman"/>
                <w:highlight w:val="yellow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1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403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1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79,320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61,400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54,0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194,720</w:t>
            </w:r>
          </w:p>
        </w:tc>
      </w:tr>
      <w:tr>
        <w:trPr/>
        <w:tc>
          <w:tcPr>
            <w:tcW w:w="403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1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76,000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76,000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75,8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227.8</w:t>
            </w:r>
          </w:p>
        </w:tc>
      </w:tr>
      <w:tr>
        <w:trPr/>
        <w:tc>
          <w:tcPr>
            <w:tcW w:w="403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1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firstLine="110"/>
              <w:jc w:val="center"/>
              <w:rPr/>
            </w:pPr>
            <w:r>
              <w:rPr/>
              <w:t>0,00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</w:tbl>
    <w:p>
      <w:pPr>
        <w:sectPr>
          <w:headerReference w:type="default" r:id="rId4"/>
          <w:type w:val="nextPage"/>
          <w:pgSz w:orient="landscape" w:w="16838" w:h="11906"/>
          <w:pgMar w:left="585" w:right="668" w:header="1134" w:top="1648" w:footer="0" w:bottom="512" w:gutter="0"/>
          <w:pgNumType w:fmt="decimal"/>
          <w:formProt w:val="false"/>
          <w:textDirection w:val="lrTb"/>
        </w:sectPr>
        <w:pStyle w:val="Normal"/>
        <w:tabs>
          <w:tab w:val="clear" w:pos="709"/>
          <w:tab w:val="left" w:pos="8080" w:leader="none"/>
        </w:tabs>
        <w:ind w:left="0" w:right="0" w:hanging="0"/>
        <w:jc w:val="right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».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outlineLvl w:val="3"/>
        <w:rPr/>
      </w:pPr>
      <w:r>
        <w:rPr>
          <w:rFonts w:cs="Times New Roman" w:ascii="Times New Roman" w:hAnsi="Times New Roman"/>
          <w:sz w:val="28"/>
          <w:szCs w:val="28"/>
        </w:rPr>
        <w:t xml:space="preserve">3. </w:t>
      </w:r>
      <w:r>
        <w:rPr>
          <w:rFonts w:cs="Times New Roman" w:ascii="Times New Roman" w:hAnsi="Times New Roman"/>
          <w:sz w:val="28"/>
          <w:szCs w:val="28"/>
        </w:rPr>
        <w:t>В пункте 2.6. «Ресурсное обеспечение Программ</w:t>
      </w:r>
      <w:r>
        <w:rPr>
          <w:rFonts w:cs="Times New Roman" w:ascii="Times New Roman" w:hAnsi="Times New Roman"/>
          <w:sz w:val="28"/>
          <w:szCs w:val="28"/>
        </w:rPr>
        <w:t>ы» таблицу 1 изложить в следующей редакции:</w:t>
      </w:r>
    </w:p>
    <w:p>
      <w:pPr>
        <w:pStyle w:val="Style26"/>
        <w:autoSpaceDE w:val="false"/>
        <w:spacing w:lineRule="auto" w:line="360"/>
        <w:ind w:left="1410" w:hanging="0"/>
        <w:jc w:val="right"/>
        <w:rPr>
          <w:rFonts w:ascii="Times New Roman" w:hAnsi="Times New Roman"/>
        </w:rPr>
      </w:pPr>
      <w:r>
        <w:rPr>
          <w:rFonts w:cs="Times New Roman" w:ascii="Times New Roman" w:hAnsi="Times New Roman"/>
          <w:sz w:val="28"/>
          <w:szCs w:val="28"/>
        </w:rPr>
        <w:t>«Таблица 1</w:t>
      </w:r>
    </w:p>
    <w:p>
      <w:pPr>
        <w:pStyle w:val="Style26"/>
        <w:autoSpaceDE w:val="false"/>
        <w:spacing w:lineRule="auto" w:line="360"/>
        <w:ind w:left="141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Финансирование мероприятий Программы</w:t>
      </w:r>
    </w:p>
    <w:tbl>
      <w:tblPr>
        <w:tblW w:w="9654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2694"/>
        <w:gridCol w:w="1701"/>
        <w:gridCol w:w="1275"/>
        <w:gridCol w:w="1276"/>
        <w:gridCol w:w="1276"/>
        <w:gridCol w:w="1427"/>
        <w:gridCol w:w="5"/>
      </w:tblGrid>
      <w:tr>
        <w:trPr>
          <w:trHeight w:val="72" w:hRule="atLeast"/>
          <w:cantSplit w:val="true"/>
        </w:trPr>
        <w:tc>
          <w:tcPr>
            <w:tcW w:w="26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214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Задачи</w:t>
            </w:r>
          </w:p>
        </w:tc>
        <w:tc>
          <w:tcPr>
            <w:tcW w:w="6955" w:type="dxa"/>
            <w:gridSpan w:val="5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Источники финансирования, тыс.руб.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Годы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2020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5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Задача 1: 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1 363,500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993,300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705,4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3065,52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295,738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241,300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121,5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663,749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325,677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594,000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157,6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1100,485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742,085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158,000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426,3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</w:rPr>
              <w:t>1301,286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Задача 2: оказание государственной поддержки гражданам Шарангского района в решении жилищной проблемы </w:t>
            </w:r>
          </w:p>
          <w:p>
            <w:pPr>
              <w:pStyle w:val="ConsPlusNormal"/>
              <w:widowControl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 использованием ипотечного жилищного кредитования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155,320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137,400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129,8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422,52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cs="Times New Roman" w:ascii="Times New Roman" w:hAnsi="Times New Roman"/>
                <w:highlight w:val="yellow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jc w:val="both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79,320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61,400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54,0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</w:rPr>
              <w:t>194,720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75,8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227,8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7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 по Программе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1 522,140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1 130,700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835,2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3488,04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cs="Times New Roman" w:ascii="Times New Roman" w:hAnsi="Times New Roman"/>
                <w:highlight w:val="yellow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295,738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241,300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121,5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658,538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404,997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655,400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211,6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1271,997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821,405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234,000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502,1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1557,505</w:t>
            </w:r>
          </w:p>
        </w:tc>
      </w:tr>
      <w:tr>
        <w:trPr>
          <w:trHeight w:val="72" w:hRule="atLeast"/>
          <w:cantSplit w:val="true"/>
        </w:trPr>
        <w:tc>
          <w:tcPr>
            <w:tcW w:w="2694" w:type="dxa"/>
            <w:tcBorders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</w:tbl>
    <w:p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».</w:t>
      </w:r>
    </w:p>
    <w:p>
      <w:pPr>
        <w:pStyle w:val="Style26"/>
        <w:widowControl/>
        <w:suppressAutoHyphens w:val="true"/>
        <w:overflowPunct w:val="false"/>
        <w:bidi w:val="0"/>
        <w:spacing w:lineRule="auto" w:line="276" w:before="0" w:after="0"/>
        <w:ind w:left="0" w:right="0" w:firstLine="567"/>
        <w:contextualSpacing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4. </w:t>
      </w:r>
      <w:r>
        <w:rPr>
          <w:rFonts w:cs="Times New Roman" w:ascii="Times New Roman" w:hAnsi="Times New Roman"/>
          <w:sz w:val="28"/>
          <w:szCs w:val="28"/>
        </w:rPr>
        <w:t>В приложении 1 к Программе:</w:t>
      </w:r>
    </w:p>
    <w:p>
      <w:pPr>
        <w:pStyle w:val="Style26"/>
        <w:widowControl/>
        <w:numPr>
          <w:ilvl w:val="1"/>
          <w:numId w:val="5"/>
        </w:numPr>
        <w:suppressAutoHyphens w:val="true"/>
        <w:overflowPunct w:val="false"/>
        <w:bidi w:val="0"/>
        <w:spacing w:lineRule="auto" w:line="276" w:before="0" w:after="0"/>
        <w:ind w:left="0" w:right="0" w:firstLine="567"/>
        <w:contextualSpacing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Паспорте Подпрограммы «Обеспечение жильем молодых семей в Шарангском районе на период 2018-2020 годы» (далее – Подпрограмма) пункт 1.9. «Объемы и источники финансирования Подпрограммы» изложить в следующей редакции:</w:t>
      </w:r>
    </w:p>
    <w:p>
      <w:pPr>
        <w:pStyle w:val="ConsPlusNormal"/>
        <w:numPr>
          <w:ilvl w:val="0"/>
          <w:numId w:val="0"/>
        </w:numPr>
        <w:ind w:hanging="0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</w:t>
      </w:r>
    </w:p>
    <w:tbl>
      <w:tblPr>
        <w:tblW w:w="9649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1559"/>
        <w:gridCol w:w="1134"/>
        <w:gridCol w:w="1417"/>
        <w:gridCol w:w="1418"/>
        <w:gridCol w:w="1427"/>
      </w:tblGrid>
      <w:tr>
        <w:trPr>
          <w:trHeight w:val="360" w:hRule="atLeast"/>
        </w:trPr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1"/>
                <w:numId w:val="6"/>
              </w:numPr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Объемы и источники финансирования Подпрограммы</w:t>
            </w:r>
          </w:p>
        </w:tc>
        <w:tc>
          <w:tcPr>
            <w:tcW w:w="69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Cell"/>
              <w:ind w:firstLine="709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тысяч рублей</w:t>
            </w:r>
          </w:p>
        </w:tc>
      </w:tr>
      <w:tr>
        <w:trPr>
          <w:trHeight w:val="405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1146" w:hanging="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firstLine="33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Источники финансирования</w:t>
            </w:r>
          </w:p>
        </w:tc>
        <w:tc>
          <w:tcPr>
            <w:tcW w:w="53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Cell"/>
              <w:tabs>
                <w:tab w:val="clear" w:pos="709"/>
                <w:tab w:val="left" w:pos="1168" w:leader="none"/>
              </w:tabs>
              <w:ind w:firstLine="7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Годы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1146" w:hanging="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5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2020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 за период реализации Подпрограммы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-108" w:hanging="0"/>
              <w:jc w:val="center"/>
              <w:rPr/>
            </w:pPr>
            <w:r>
              <w:rPr>
                <w:rFonts w:cs="Times New Roman" w:ascii="Times New Roman" w:hAnsi="Times New Roman"/>
              </w:rPr>
              <w:t>295,738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241,300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121,5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663,749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-108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325,677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594,000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157,6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1100,485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-108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742,085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158,000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426,3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/>
            </w:pPr>
            <w:r>
              <w:rPr>
                <w:rFonts w:cs="Times New Roman" w:ascii="Times New Roman" w:hAnsi="Times New Roman"/>
              </w:rPr>
              <w:t>1301,286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-108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-108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left="-108" w:hanging="0"/>
              <w:jc w:val="center"/>
              <w:rPr/>
            </w:pPr>
            <w:r>
              <w:rPr/>
              <w:t>0,00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 по Программе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-108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1363,500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993,300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705,4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3065,52</w:t>
            </w:r>
          </w:p>
        </w:tc>
      </w:tr>
      <w:tr>
        <w:trPr>
          <w:trHeight w:val="510" w:hRule="atLeast"/>
        </w:trPr>
        <w:tc>
          <w:tcPr>
            <w:tcW w:w="26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cs="Times New Roman" w:ascii="Times New Roman" w:hAnsi="Times New Roman"/>
                <w:color w:val="FF0000"/>
              </w:rPr>
            </w:r>
          </w:p>
        </w:tc>
        <w:tc>
          <w:tcPr>
            <w:tcW w:w="69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Ежегодные объемы финансирования мероприятий Подпрограммы за счет средств бюджетов всех уровней будут уточняться исходя из возможностей соответствующих бюджетов на плановый период.</w:t>
            </w:r>
          </w:p>
        </w:tc>
      </w:tr>
    </w:tbl>
    <w:p>
      <w:pPr>
        <w:pStyle w:val="Normal"/>
        <w:tabs>
          <w:tab w:val="clear" w:pos="709"/>
          <w:tab w:val="left" w:pos="8080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  <w:t>»</w:t>
      </w:r>
    </w:p>
    <w:p>
      <w:pPr>
        <w:pStyle w:val="ConsPlusNormal"/>
        <w:widowControl w:val="false"/>
        <w:numPr>
          <w:ilvl w:val="1"/>
          <w:numId w:val="5"/>
        </w:numPr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outlineLvl w:val="3"/>
        <w:rPr/>
      </w:pPr>
      <w:r>
        <w:rPr>
          <w:rFonts w:cs="Times New Roman" w:ascii="Times New Roman" w:hAnsi="Times New Roman"/>
          <w:sz w:val="28"/>
          <w:szCs w:val="28"/>
        </w:rPr>
        <w:t>В пункте 2.6. «Ресурсное обеспечение Подпрограммы» таблицу 1 изложить в следующей редакции:</w:t>
      </w:r>
    </w:p>
    <w:p>
      <w:pPr>
        <w:pStyle w:val="Style26"/>
        <w:autoSpaceDE w:val="false"/>
        <w:spacing w:lineRule="auto" w:line="360"/>
        <w:ind w:left="1410" w:hanging="0"/>
        <w:jc w:val="right"/>
        <w:rPr/>
      </w:pPr>
      <w:r>
        <w:rPr>
          <w:rFonts w:cs="Times New Roman" w:ascii="Times New Roman" w:hAnsi="Times New Roman"/>
          <w:sz w:val="28"/>
          <w:szCs w:val="28"/>
        </w:rPr>
        <w:t>«Таблица 1</w:t>
      </w:r>
    </w:p>
    <w:p>
      <w:pPr>
        <w:pStyle w:val="Style26"/>
        <w:autoSpaceDE w:val="false"/>
        <w:spacing w:lineRule="auto" w:line="360"/>
        <w:ind w:left="1410" w:hanging="0"/>
        <w:jc w:val="center"/>
        <w:rPr/>
      </w:pPr>
      <w:r>
        <w:rPr>
          <w:rFonts w:cs="Times New Roman" w:ascii="Times New Roman" w:hAnsi="Times New Roman"/>
          <w:sz w:val="28"/>
          <w:szCs w:val="28"/>
        </w:rPr>
        <w:t>Финансирование мероприятий Подп</w:t>
      </w:r>
      <w:r>
        <w:rPr/>
        <w:t>рограммы</w:t>
      </w:r>
    </w:p>
    <w:tbl>
      <w:tblPr>
        <w:tblW w:w="9654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2835"/>
        <w:gridCol w:w="1560"/>
        <w:gridCol w:w="1275"/>
        <w:gridCol w:w="1276"/>
        <w:gridCol w:w="1276"/>
        <w:gridCol w:w="1427"/>
        <w:gridCol w:w="5"/>
      </w:tblGrid>
      <w:tr>
        <w:trPr>
          <w:trHeight w:val="72" w:hRule="atLeast"/>
          <w:cantSplit w:val="true"/>
        </w:trPr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214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Задачи</w:t>
            </w:r>
          </w:p>
        </w:tc>
        <w:tc>
          <w:tcPr>
            <w:tcW w:w="6814" w:type="dxa"/>
            <w:gridSpan w:val="5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Источники финансирования, тыс.руб.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Годы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2020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5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Задача 1. Обеспечение первичной финансовой поддержки молодых семей, признанных нуждающимися в улучшении жилищных условий, при приобретении (строительстве) отдельного благоустроенного жилья.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1 039,500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983,800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694,9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2721,899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295,738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241,300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121,5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663,749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223,077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594,000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157,6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973,165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520,685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148,500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415,8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/>
            </w:pPr>
            <w:r>
              <w:rPr>
                <w:rFonts w:cs="Times New Roman" w:ascii="Times New Roman" w:hAnsi="Times New Roman"/>
              </w:rPr>
              <w:t>1084,985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Задача 2. Обеспечение финансовой поддержки молодых семей, нуждающихся в жилых помещениях, при рождении детей.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297,000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297,000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ind w:hanging="0"/>
              <w:jc w:val="both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89,100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89,100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207,900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207,900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Задача3. Компенсация процентной ставки по кредитам, выданным до 31 декабря 2006 года в рамках районной целевой программы "Молодой семье – доступное жилье" на 2005 - 2010 годы, утверждённой решением Земского собрания Шарангского района от 15.04.2005 года № 15.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27,000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9,500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/>
            </w:pPr>
            <w:r>
              <w:rPr>
                <w:rFonts w:cs="Times New Roman" w:ascii="Times New Roman" w:hAnsi="Times New Roman"/>
              </w:rPr>
              <w:t>10,500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46,000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13,500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13,500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ind w:hanging="0"/>
              <w:jc w:val="both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13,500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9,500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10,500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32,500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ind w:hanging="0"/>
              <w:jc w:val="both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 по Подпрограмме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1 363,500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993,300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705,4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3065,52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295,738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241,300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121,5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663,749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325,677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594,000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157,6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1100,485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742,085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158,000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426,3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/>
            </w:pPr>
            <w:r>
              <w:rPr>
                <w:rFonts w:cs="Times New Roman" w:ascii="Times New Roman" w:hAnsi="Times New Roman"/>
              </w:rPr>
              <w:t>1301,286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tcBorders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</w:tbl>
    <w:p>
      <w:pPr>
        <w:sectPr>
          <w:headerReference w:type="default" r:id="rId5"/>
          <w:type w:val="nextPage"/>
          <w:pgSz w:w="11906" w:h="16838"/>
          <w:pgMar w:left="1418" w:right="843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tabs>
          <w:tab w:val="clear" w:pos="709"/>
          <w:tab w:val="left" w:pos="8080" w:leader="none"/>
        </w:tabs>
        <w:ind w:left="0" w:right="0" w:hanging="0"/>
        <w:jc w:val="right"/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3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53385" cy="1035685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20" cy="10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642.05pt;width:232.45pt;height:81.45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rFonts w:cs="Times New Roman"/>
          <w:b w:val="false"/>
          <w:sz w:val="28"/>
          <w:szCs w:val="28"/>
        </w:rPr>
        <w:t>».</w:t>
      </w:r>
    </w:p>
    <w:p>
      <w:pPr>
        <w:pStyle w:val="Normal"/>
        <w:numPr>
          <w:ilvl w:val="1"/>
          <w:numId w:val="5"/>
        </w:numPr>
        <w:ind w:left="0" w:hanging="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к Подпрограмме «Обеспечение жильем молодых семей в Шарангском районе на период 2018-2020 годы» изложить в следующей редакции:</w:t>
      </w:r>
    </w:p>
    <w:p>
      <w:pPr>
        <w:pStyle w:val="Normal"/>
        <w:ind w:left="11482" w:right="113" w:hanging="0"/>
        <w:jc w:val="center"/>
        <w:rPr>
          <w:sz w:val="24"/>
          <w:szCs w:val="24"/>
        </w:rPr>
      </w:pPr>
      <w:r>
        <w:rPr>
          <w:sz w:val="24"/>
          <w:szCs w:val="24"/>
        </w:rPr>
        <w:t>«Приложение</w:t>
      </w:r>
    </w:p>
    <w:p>
      <w:pPr>
        <w:pStyle w:val="Normal"/>
        <w:ind w:left="11057" w:right="113" w:hanging="0"/>
        <w:jc w:val="center"/>
        <w:rPr/>
      </w:pPr>
      <w:r>
        <w:rPr>
          <w:sz w:val="24"/>
          <w:szCs w:val="24"/>
        </w:rPr>
        <w:t>к Подпрограмме «Обеспечение жильем</w:t>
      </w:r>
    </w:p>
    <w:p>
      <w:pPr>
        <w:pStyle w:val="Normal"/>
        <w:ind w:left="11482" w:right="113" w:hanging="0"/>
        <w:jc w:val="center"/>
        <w:rPr>
          <w:sz w:val="24"/>
          <w:szCs w:val="24"/>
        </w:rPr>
      </w:pPr>
      <w:r>
        <w:rPr>
          <w:sz w:val="24"/>
          <w:szCs w:val="24"/>
        </w:rPr>
        <w:t>молодых семей в Шарангском районе</w:t>
      </w:r>
    </w:p>
    <w:p>
      <w:pPr>
        <w:pStyle w:val="Normal"/>
        <w:ind w:left="11482" w:right="113" w:hanging="0"/>
        <w:jc w:val="center"/>
        <w:rPr>
          <w:sz w:val="24"/>
          <w:szCs w:val="24"/>
        </w:rPr>
      </w:pPr>
      <w:r>
        <w:rPr>
          <w:sz w:val="24"/>
          <w:szCs w:val="24"/>
        </w:rPr>
        <w:t>на период 2018-2020 годы»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Система Подпрограммных мероприятий</w:t>
      </w:r>
    </w:p>
    <w:tbl>
      <w:tblPr>
        <w:tblW w:w="15585" w:type="dxa"/>
        <w:jc w:val="left"/>
        <w:tblInd w:w="-1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3975"/>
        <w:gridCol w:w="1560"/>
        <w:gridCol w:w="135"/>
        <w:gridCol w:w="1845"/>
        <w:gridCol w:w="2205"/>
        <w:gridCol w:w="1245"/>
        <w:gridCol w:w="1125"/>
        <w:gridCol w:w="1260"/>
        <w:gridCol w:w="1065"/>
      </w:tblGrid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center"/>
              <w:rPr/>
            </w:pPr>
            <w:r>
              <w:rPr>
                <w:rFonts w:cs="Times New Roman" w:ascii="Times New Roman" w:hAnsi="Times New Roman"/>
              </w:rPr>
              <w:t xml:space="preserve">№ </w:t>
            </w:r>
            <w:r>
              <w:rPr>
                <w:rFonts w:cs="Times New Roman" w:ascii="Times New Roman" w:hAnsi="Times New Roman"/>
              </w:rPr>
              <w:t>п</w:t>
            </w:r>
            <w:r>
              <w:rPr>
                <w:rFonts w:cs="Times New Roman" w:ascii="Times New Roman" w:hAnsi="Times New Roman"/>
                <w:lang w:val="en-US"/>
              </w:rPr>
              <w:t>/</w:t>
            </w:r>
            <w:r>
              <w:rPr>
                <w:rFonts w:cs="Times New Roman" w:ascii="Times New Roman" w:hAnsi="Times New Roman"/>
              </w:rPr>
              <w:t>п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мероприятия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Сроки выполнения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Исполнители мероприятий</w:t>
            </w:r>
          </w:p>
        </w:tc>
        <w:tc>
          <w:tcPr>
            <w:tcW w:w="69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Источники финансирования, тыс.руб.</w:t>
            </w:r>
          </w:p>
        </w:tc>
      </w:tr>
      <w:tr>
        <w:trPr/>
        <w:tc>
          <w:tcPr>
            <w:tcW w:w="8685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Цель Подпрограммы: государственная поддержка молодых семей Шарангского района в решении жилищной проблемы.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Годы: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2020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1 363,500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993,300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705,4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3065,52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295,738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241,300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121,5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663,749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325,677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594,000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157,6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1100,485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742,085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158,000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426,3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/>
            </w:pPr>
            <w:r>
              <w:rPr>
                <w:rFonts w:cs="Times New Roman" w:ascii="Times New Roman" w:hAnsi="Times New Roman"/>
              </w:rPr>
              <w:t>1301,286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8685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Задача 1 Подпрограммы: обеспечение первичной финансовой поддержки молодых семей, признанных нуждающимися в улучшении жилищных условий, при приобретении (строительстве) отдельного благоустроенного жилья.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1 039,500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983,800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694,9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2721,899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295,738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241,300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121,5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663,749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223,077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594,000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157,6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973,165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520,685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148,500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415,8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/>
            </w:pPr>
            <w:r>
              <w:rPr>
                <w:rFonts w:cs="Times New Roman" w:ascii="Times New Roman" w:hAnsi="Times New Roman"/>
              </w:rPr>
              <w:t>1084,985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/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1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1.1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Организация информационной и разъяснительной </w:t>
            </w:r>
          </w:p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работы по освещению целей, задач и хода реализации Подпрограммы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постоянно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 Шарангского муниципального района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1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1.2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Организация учета молодых семей – участников Подпрограммы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постоянно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 Шарангского муниципального района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1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1.3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Подготовка предложений по объемам средств, необходимых на предоставление социальных выплат за счет средств местного бюджета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ежегодно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 Шарангского муниципального района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1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1.4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Оформление и подача заявок на финансирование Подпрограммы за счет средств областного бюджета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ежегодно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 Шарангского муниципального района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1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1.5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Выдача молодым семьям свидетельств о праве на получение социальной выплаты на приобретение жилого помещения или строительство индивидуального жилого дома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ежегодно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 Шарангского муниципального района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1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1.6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Перечисление социальных выплат молодым семьям – участникам Подпрограммы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ежегодно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Финансовое управление администрации Шарангского муниципального района, администрация Шарангского муниципального района, банк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1 039,500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983,800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/>
              </w:rPr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694,9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2721,899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295,738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241,300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121,5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663,749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223,077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594,000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157,6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973,165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520,685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148,500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415,8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/>
            </w:pPr>
            <w:r>
              <w:rPr>
                <w:rFonts w:cs="Times New Roman" w:ascii="Times New Roman" w:hAnsi="Times New Roman"/>
              </w:rPr>
              <w:t>1084,985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1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1.7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Организация отчетности по реализации Подпрограммы и</w:t>
            </w:r>
          </w:p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расходованию бюджетных средств, направляемых на реализацию Подпрограммы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left="-108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Ежемесячно, ежегодно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 Шарангского муниципального района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8685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Задача 2 Подпрограммы: обеспечение финансовой поддержки молодых семей, нуждающихся в жилых помещениях, при рождении детей.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297,000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297,000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89,100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89,100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207,900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207,900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2.1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Оформление и подача заявок на финансирование дополнительной социальной выплаты на рождение (усыновление) ребенка за счет средств областного бюджета 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ежегодно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 Шарангского муниципального района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2.2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Перечисление молодым семьям – участникам Подпрограммы дополнительной выплаты на компенсацию части</w:t>
            </w:r>
          </w:p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затрат на приобретение или строительство жилья в случае рождения (усыновления) ребенка 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ежегодно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Финансовое управление администрации Шарангского муниципального района, администрация Шарангского муниципального района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297,000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297,000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89,100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89,100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207,900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207,900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2.3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Организация отчетности по расходованию бюджетных средств, направляемых на перечисление дополнительной социальной выплаты на рождение (усыновление) ребенка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Ежеквартально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 Шарангского муниципального района</w:t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8685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Задача 3 Подпрограммы: компенсация процентной ставки по кредитам, выданным до 31 декабря 2006 года в рамках районной целевой программы "Молодой семье – доступное жилье" на 2005 - 2010 годы, утверждённой решением Земского собрания Шарангского района от 15.04.2005 года № 15.</w:t>
            </w:r>
          </w:p>
          <w:p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27,000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9,500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/>
            </w:pPr>
            <w:r>
              <w:rPr>
                <w:rFonts w:cs="Times New Roman" w:ascii="Times New Roman" w:hAnsi="Times New Roman"/>
              </w:rPr>
              <w:t>10,500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/>
            </w:pPr>
            <w:r>
              <w:rPr>
                <w:rFonts w:cs="Times New Roman" w:ascii="Times New Roman" w:hAnsi="Times New Roman"/>
              </w:rPr>
              <w:t>47,000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13,500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13,500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13,500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9,500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10,500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9"/>
              <w:jc w:val="center"/>
              <w:rPr/>
            </w:pPr>
            <w:r>
              <w:rPr>
                <w:rFonts w:cs="Times New Roman" w:ascii="Times New Roman" w:hAnsi="Times New Roman"/>
              </w:rPr>
              <w:t>33,500</w:t>
            </w:r>
          </w:p>
        </w:tc>
      </w:tr>
      <w:tr>
        <w:trPr/>
        <w:tc>
          <w:tcPr>
            <w:tcW w:w="8685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</w:tbl>
    <w:p>
      <w:pPr>
        <w:sectPr>
          <w:headerReference w:type="default" r:id="rId6"/>
          <w:type w:val="nextPage"/>
          <w:pgSz w:orient="landscape" w:w="16838" w:h="11906"/>
          <w:pgMar w:left="585" w:right="668" w:header="1134" w:top="1648" w:footer="0" w:bottom="512" w:gutter="0"/>
          <w:pgNumType w:fmt="decimal"/>
          <w:formProt w:val="false"/>
          <w:textDirection w:val="lrTb"/>
        </w:sectPr>
        <w:pStyle w:val="Normal"/>
        <w:tabs>
          <w:tab w:val="clear" w:pos="709"/>
          <w:tab w:val="left" w:pos="8080" w:leader="none"/>
        </w:tabs>
        <w:ind w:left="0" w:right="0" w:hanging="0"/>
        <w:jc w:val="right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».</w:t>
      </w:r>
    </w:p>
    <w:p>
      <w:pPr>
        <w:pStyle w:val="Style26"/>
        <w:widowControl/>
        <w:suppressAutoHyphens w:val="true"/>
        <w:overflowPunct w:val="false"/>
        <w:bidi w:val="0"/>
        <w:spacing w:lineRule="auto" w:line="276" w:before="0" w:after="0"/>
        <w:ind w:left="0" w:right="0" w:firstLine="567"/>
        <w:contextualSpacing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5. </w:t>
      </w:r>
      <w:r>
        <w:rPr>
          <w:rFonts w:cs="Times New Roman" w:ascii="Times New Roman" w:hAnsi="Times New Roman"/>
          <w:sz w:val="28"/>
          <w:szCs w:val="28"/>
        </w:rPr>
        <w:t>В приложении 2 к Программе:</w:t>
      </w:r>
    </w:p>
    <w:p>
      <w:pPr>
        <w:pStyle w:val="Style26"/>
        <w:widowControl/>
        <w:numPr>
          <w:ilvl w:val="1"/>
          <w:numId w:val="8"/>
        </w:numPr>
        <w:suppressAutoHyphens w:val="true"/>
        <w:overflowPunct w:val="false"/>
        <w:bidi w:val="0"/>
        <w:spacing w:lineRule="auto" w:line="276" w:before="0" w:after="0"/>
        <w:ind w:left="0" w:right="0" w:firstLine="567"/>
        <w:contextualSpacing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Паспорте Подпрограммы «Ипотечное жилищное кредитование населения Шарангского района на период 2018-2020 годы» (далее – Подпрограмма) пункт 1.9. «Объемы и источники финансирования Подпрограммы» изложить в следующей редакции:</w:t>
      </w:r>
    </w:p>
    <w:p>
      <w:pPr>
        <w:pStyle w:val="Style26"/>
        <w:spacing w:before="0" w:after="0"/>
        <w:ind w:left="0" w:hanging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</w:t>
      </w:r>
    </w:p>
    <w:tbl>
      <w:tblPr>
        <w:tblW w:w="9525" w:type="dxa"/>
        <w:jc w:val="left"/>
        <w:tblInd w:w="82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394"/>
        <w:gridCol w:w="1335"/>
        <w:gridCol w:w="1185"/>
        <w:gridCol w:w="1041"/>
        <w:gridCol w:w="1590"/>
      </w:tblGrid>
      <w:tr>
        <w:trPr>
          <w:trHeight w:val="360" w:hRule="atLeast"/>
        </w:trPr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1"/>
                <w:numId w:val="9"/>
              </w:numPr>
              <w:ind w:left="0" w:hanging="0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Объемы и источники финансирования Подпрограммы</w:t>
            </w:r>
          </w:p>
        </w:tc>
        <w:tc>
          <w:tcPr>
            <w:tcW w:w="75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Cell"/>
              <w:tabs>
                <w:tab w:val="clear" w:pos="709"/>
                <w:tab w:val="left" w:pos="1593" w:leader="none"/>
              </w:tabs>
              <w:ind w:firstLine="175"/>
              <w:jc w:val="righ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тысяч рублей</w:t>
            </w:r>
          </w:p>
        </w:tc>
      </w:tr>
      <w:tr>
        <w:trPr>
          <w:trHeight w:val="405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1114" w:hanging="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-108"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Источники финансирования</w:t>
            </w:r>
          </w:p>
        </w:tc>
        <w:tc>
          <w:tcPr>
            <w:tcW w:w="51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Cell"/>
              <w:tabs>
                <w:tab w:val="clear" w:pos="709"/>
                <w:tab w:val="left" w:pos="1188" w:leader="none"/>
              </w:tabs>
              <w:ind w:firstLine="7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Годы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1114" w:hanging="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hanging="87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2018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left="-572" w:firstLine="7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2019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2020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Cel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 за период реализации Подпрограммы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87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-572" w:firstLine="7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snapToGrid w:val="false"/>
              <w:ind w:hanging="87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ConsPlusNormal"/>
              <w:ind w:hanging="87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79,320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61,400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54,0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194,720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snapToGrid w:val="false"/>
              <w:ind w:hanging="87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ConsPlusNormal"/>
              <w:ind w:hanging="87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76,000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/>
            </w:pPr>
            <w:r>
              <w:rPr>
                <w:rFonts w:cs="Times New Roman" w:ascii="Times New Roman" w:hAnsi="Times New Roman"/>
              </w:rPr>
              <w:t>75,8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227,8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87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left="-572" w:firstLine="7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 по Программе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87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155,320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137,400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129,8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422,52</w:t>
            </w:r>
          </w:p>
        </w:tc>
      </w:tr>
      <w:tr>
        <w:trPr>
          <w:trHeight w:val="510" w:hRule="atLeast"/>
        </w:trPr>
        <w:tc>
          <w:tcPr>
            <w:tcW w:w="1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snapToGrid w:val="false"/>
              <w:ind w:left="34" w:firstLine="720"/>
              <w:jc w:val="both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5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Объемы финансирования Подпрограммы подлежат ежегодной корректировке в соответствии с решением Земского собрания о районном бюджете и законом Нижегородской области об областном бюджете на очередной финансовый год и на плановый период. Подпрограмма закончила действие в части привлечения новых участников Подпрограммы 31 декабря 2011 года. В период 2018 - 2020 годы будет осуществляться компенсация части платежа по ранее выданным ипотечным жилищным кредитам (займам). </w:t>
            </w:r>
          </w:p>
        </w:tc>
      </w:tr>
    </w:tbl>
    <w:p>
      <w:pPr>
        <w:pStyle w:val="ConsPlusNormal"/>
        <w:numPr>
          <w:ilvl w:val="0"/>
          <w:numId w:val="0"/>
        </w:numPr>
        <w:spacing w:lineRule="auto" w:line="276"/>
        <w:ind w:hanging="0"/>
        <w:jc w:val="right"/>
        <w:outlineLvl w:val="3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»</w:t>
      </w:r>
    </w:p>
    <w:p>
      <w:pPr>
        <w:pStyle w:val="ConsPlusNormal"/>
        <w:widowControl w:val="false"/>
        <w:numPr>
          <w:ilvl w:val="1"/>
          <w:numId w:val="8"/>
        </w:numPr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outlineLvl w:val="3"/>
        <w:rPr>
          <w:rFonts w:ascii="Times New Roman" w:hAnsi="Times New Roman"/>
        </w:rPr>
      </w:pPr>
      <w:r>
        <w:rPr>
          <w:rFonts w:cs="Times New Roman" w:ascii="Times New Roman" w:hAnsi="Times New Roman"/>
          <w:sz w:val="28"/>
          <w:szCs w:val="28"/>
        </w:rPr>
        <w:t>В пункте 2.6. «Ресурсное обеспечение Подпрограммы» таблицу 1 изложить в следующей редакции:</w:t>
      </w:r>
    </w:p>
    <w:p>
      <w:pPr>
        <w:pStyle w:val="Style26"/>
        <w:autoSpaceDE w:val="false"/>
        <w:spacing w:lineRule="auto" w:line="360"/>
        <w:ind w:left="1410" w:hanging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«Таблица 1</w:t>
      </w:r>
    </w:p>
    <w:p>
      <w:pPr>
        <w:pStyle w:val="Style26"/>
        <w:autoSpaceDE w:val="false"/>
        <w:spacing w:lineRule="auto" w:line="360"/>
        <w:ind w:left="1410" w:hanging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Финансирование мероприятий Подпрограммы</w:t>
      </w:r>
    </w:p>
    <w:tbl>
      <w:tblPr>
        <w:tblW w:w="9654" w:type="dxa"/>
        <w:jc w:val="center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2835"/>
        <w:gridCol w:w="1560"/>
        <w:gridCol w:w="1275"/>
        <w:gridCol w:w="1276"/>
        <w:gridCol w:w="1276"/>
        <w:gridCol w:w="1427"/>
        <w:gridCol w:w="5"/>
      </w:tblGrid>
      <w:tr>
        <w:trPr>
          <w:trHeight w:val="72" w:hRule="atLeast"/>
          <w:cantSplit w:val="true"/>
        </w:trPr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Задача</w:t>
            </w:r>
          </w:p>
        </w:tc>
        <w:tc>
          <w:tcPr>
            <w:tcW w:w="6814" w:type="dxa"/>
            <w:gridSpan w:val="5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Источники финансирования, тыс.руб.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Годы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2020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Завершение мероприятий в части обязательств, взятых администрацией Шарангского муниципального района по компенсации части платежа по выданным ипотечным жилищным кредитам (займам) гражданам - участникам Подпрограммы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158,640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137,400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129,8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422,52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cs="Times New Roman" w:ascii="Times New Roman" w:hAnsi="Times New Roman"/>
                <w:color w:val="FF0000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79,320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61,400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54,0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194,720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79,320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76,000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75,8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227,8</w:t>
            </w:r>
          </w:p>
        </w:tc>
      </w:tr>
      <w:tr>
        <w:trPr>
          <w:trHeight w:val="72" w:hRule="atLeast"/>
          <w:cantSplit w:val="true"/>
        </w:trPr>
        <w:tc>
          <w:tcPr>
            <w:tcW w:w="2835" w:type="dxa"/>
            <w:vMerge w:val="continue"/>
            <w:tcBorders>
              <w:top w:val="single" w:sz="6" w:space="0" w:color="000000"/>
              <w:left w:val="single" w:sz="6" w:space="0" w:color="000000"/>
            </w:tcBorders>
            <w:shd w:fill="auto" w:val="clear"/>
          </w:tcPr>
          <w:p>
            <w:pPr>
              <w:pStyle w:val="ConsPlusNormal"/>
              <w:widowControl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0,00</w:t>
            </w:r>
          </w:p>
        </w:tc>
        <w:tc>
          <w:tcPr>
            <w:tcW w:w="1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>
          <w:trHeight w:val="841" w:hRule="atLeast"/>
          <w:cantSplit w:val="true"/>
        </w:trPr>
        <w:tc>
          <w:tcPr>
            <w:tcW w:w="96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Подпрограмма закончила действие в части привлечения новых участников 31 декабря 2011 года. В период 2018 - 2020 годов будет осуществляться компенсация части платежа по ранее выданным ипотечным жилищным кредитам (займам).</w:t>
            </w:r>
          </w:p>
        </w:tc>
      </w:tr>
    </w:tbl>
    <w:p>
      <w:pPr>
        <w:pStyle w:val="Normal"/>
        <w:tabs>
          <w:tab w:val="clear" w:pos="709"/>
          <w:tab w:val="left" w:pos="8080" w:leader="none"/>
        </w:tabs>
        <w:ind w:left="0" w:right="0" w:hanging="0"/>
        <w:jc w:val="right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»</w:t>
      </w:r>
    </w:p>
    <w:p>
      <w:pPr>
        <w:pStyle w:val="Normal"/>
        <w:tabs>
          <w:tab w:val="clear" w:pos="709"/>
          <w:tab w:val="left" w:pos="8080" w:leader="none"/>
        </w:tabs>
        <w:ind w:left="0" w:right="0" w:hanging="0"/>
        <w:jc w:val="left"/>
        <w:rPr>
          <w:sz w:val="28"/>
          <w:szCs w:val="28"/>
        </w:rPr>
      </w:pPr>
      <w:r>
        <w:rPr>
          <w:sz w:val="28"/>
          <w:szCs w:val="28"/>
        </w:rPr>
        <w:t>Приложение к Подпрограмме изложить в следующей редакции: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92" w:right="0" w:hanging="0"/>
        <w:jc w:val="center"/>
        <w:rPr>
          <w:sz w:val="24"/>
          <w:szCs w:val="24"/>
        </w:rPr>
      </w:pPr>
      <w:r>
        <w:rPr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92" w:right="0" w:hanging="0"/>
        <w:jc w:val="center"/>
        <w:rPr>
          <w:sz w:val="24"/>
          <w:szCs w:val="24"/>
        </w:rPr>
      </w:pPr>
      <w:r>
        <w:rPr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92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«Приложение к Подпрограмме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92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«Ипотечное жилищное кредитование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92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населения Шарангского района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92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на 2018-2020 годы»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92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92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>
          <w:sz w:val="24"/>
          <w:szCs w:val="24"/>
        </w:rPr>
        <w:t>Система Подпрограммных мероприятий</w:t>
      </w:r>
    </w:p>
    <w:tbl>
      <w:tblPr>
        <w:tblW w:w="9923" w:type="dxa"/>
        <w:jc w:val="left"/>
        <w:tblInd w:w="-5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470"/>
        <w:gridCol w:w="1200"/>
        <w:gridCol w:w="1590"/>
        <w:gridCol w:w="1410"/>
        <w:gridCol w:w="915"/>
        <w:gridCol w:w="1020"/>
        <w:gridCol w:w="795"/>
        <w:gridCol w:w="953"/>
      </w:tblGrid>
      <w:tr>
        <w:trPr/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center"/>
              <w:rPr/>
            </w:pPr>
            <w:r>
              <w:rPr>
                <w:rFonts w:cs="Times New Roman" w:ascii="Times New Roman" w:hAnsi="Times New Roman"/>
              </w:rPr>
              <w:t xml:space="preserve">№ </w:t>
            </w:r>
            <w:r>
              <w:rPr>
                <w:rFonts w:cs="Times New Roman" w:ascii="Times New Roman" w:hAnsi="Times New Roman"/>
              </w:rPr>
              <w:t>п</w:t>
            </w:r>
            <w:r>
              <w:rPr>
                <w:rFonts w:cs="Times New Roman" w:ascii="Times New Roman" w:hAnsi="Times New Roman"/>
                <w:lang w:val="en-US"/>
              </w:rPr>
              <w:t>/</w:t>
            </w:r>
            <w:r>
              <w:rPr>
                <w:rFonts w:cs="Times New Roman" w:ascii="Times New Roman" w:hAnsi="Times New Roman"/>
              </w:rPr>
              <w:t>п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мероприятия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Сроки выполнения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Исполнители мероприятий</w:t>
            </w:r>
          </w:p>
        </w:tc>
        <w:tc>
          <w:tcPr>
            <w:tcW w:w="50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Источники финансирования, тыс.руб.</w:t>
            </w:r>
          </w:p>
        </w:tc>
      </w:tr>
      <w:tr>
        <w:trPr/>
        <w:tc>
          <w:tcPr>
            <w:tcW w:w="483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Цель Подпрограммы: оказание государственной поддержки гражданам Шарангского района в решении жилищной проблемы </w:t>
            </w:r>
          </w:p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 использованием ипотечного жилищного кредитования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Годы: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2019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2020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</w:t>
            </w:r>
          </w:p>
        </w:tc>
      </w:tr>
      <w:tr>
        <w:trPr/>
        <w:tc>
          <w:tcPr>
            <w:tcW w:w="483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158,640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137,400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129,8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422,52</w:t>
            </w:r>
          </w:p>
        </w:tc>
      </w:tr>
      <w:tr>
        <w:trPr/>
        <w:tc>
          <w:tcPr>
            <w:tcW w:w="483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cs="Times New Roman" w:ascii="Times New Roman" w:hAnsi="Times New Roman"/>
                <w:color w:val="FF0000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483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79,320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61,400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54,0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194,720</w:t>
            </w:r>
          </w:p>
        </w:tc>
      </w:tr>
      <w:tr>
        <w:trPr/>
        <w:tc>
          <w:tcPr>
            <w:tcW w:w="483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79,320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76,000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75,8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227,8</w:t>
            </w:r>
          </w:p>
        </w:tc>
      </w:tr>
      <w:tr>
        <w:trPr/>
        <w:tc>
          <w:tcPr>
            <w:tcW w:w="483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firstLine="110"/>
              <w:jc w:val="center"/>
              <w:rPr/>
            </w:pPr>
            <w:r>
              <w:rPr/>
              <w:t>0,00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483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Задача Подпрограммы: завершение мероприятий в части обязательств, взятых администрацией Шарангского муниципального района по компенсации части платежа по выданным ипотечным жилищным кредитам (займам) гражданам - участникам Подпрограммы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158,640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137,400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129,8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422,52</w:t>
            </w:r>
          </w:p>
        </w:tc>
      </w:tr>
      <w:tr>
        <w:trPr/>
        <w:tc>
          <w:tcPr>
            <w:tcW w:w="483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firstLine="709"/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cs="Times New Roman" w:ascii="Times New Roman" w:hAnsi="Times New Roman"/>
                <w:color w:val="FF0000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483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79,320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61,400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54,0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194,720</w:t>
            </w:r>
          </w:p>
        </w:tc>
      </w:tr>
      <w:tr>
        <w:trPr/>
        <w:tc>
          <w:tcPr>
            <w:tcW w:w="483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79,320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76,000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75,8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227,8</w:t>
            </w:r>
          </w:p>
        </w:tc>
      </w:tr>
      <w:tr>
        <w:trPr/>
        <w:tc>
          <w:tcPr>
            <w:tcW w:w="4830" w:type="dxa"/>
            <w:gridSpan w:val="4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firstLine="110"/>
              <w:jc w:val="center"/>
              <w:rPr/>
            </w:pPr>
            <w:r>
              <w:rPr/>
              <w:t>0,00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1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1.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Оформление и подача заявок на получение субсидий областного бюджета на реализацию мероприятий Подпрограммы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ежемесячно</w:t>
            </w: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 Шарангского муниципального района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158,640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137,400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129,8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422,52</w:t>
            </w:r>
          </w:p>
        </w:tc>
      </w:tr>
      <w:tr>
        <w:trPr/>
        <w:tc>
          <w:tcPr>
            <w:tcW w:w="5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firstLine="709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cs="Times New Roman" w:ascii="Times New Roman" w:hAnsi="Times New Roman"/>
                <w:color w:val="FF0000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5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firstLine="7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79,320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61,400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54,0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194,720</w:t>
            </w:r>
          </w:p>
        </w:tc>
      </w:tr>
      <w:tr>
        <w:trPr/>
        <w:tc>
          <w:tcPr>
            <w:tcW w:w="5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firstLine="7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79,320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76,000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75,8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227,8</w:t>
            </w:r>
          </w:p>
        </w:tc>
      </w:tr>
      <w:tr>
        <w:trPr/>
        <w:tc>
          <w:tcPr>
            <w:tcW w:w="5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firstLine="709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34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firstLine="176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2.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Зачисление на счета граждан –участников социальной (льготной) ипотеки компенсации части ежемесячного платежа, включающего суммы в погашение основного долга и процентов за пользование ипотечным кредитом (займом)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ежемесячно</w:t>
            </w: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 Шарангского муниципального района, Финансовое управление администрации Шарангского муниципального района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Всего, в том числе: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158,640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137,400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129,8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422,52</w:t>
            </w:r>
          </w:p>
        </w:tc>
      </w:tr>
      <w:tr>
        <w:trPr/>
        <w:tc>
          <w:tcPr>
            <w:tcW w:w="5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cs="Times New Roman" w:ascii="Times New Roman" w:hAnsi="Times New Roman"/>
                <w:color w:val="FF0000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108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Федеральный бюджет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  <w:tr>
        <w:trPr/>
        <w:tc>
          <w:tcPr>
            <w:tcW w:w="5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Областной бюджет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79,320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61,400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54,0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194,720</w:t>
            </w:r>
          </w:p>
        </w:tc>
      </w:tr>
      <w:tr>
        <w:trPr/>
        <w:tc>
          <w:tcPr>
            <w:tcW w:w="5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Местный бюджет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79,320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76,000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75,8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227,8</w:t>
            </w:r>
          </w:p>
        </w:tc>
      </w:tr>
      <w:tr>
        <w:trPr/>
        <w:tc>
          <w:tcPr>
            <w:tcW w:w="5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Cell"/>
              <w:snapToGrid w:val="false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2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Прочие источники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firstLine="110"/>
              <w:jc w:val="center"/>
              <w:rPr/>
            </w:pPr>
            <w:r>
              <w:rPr/>
              <w:t>0,00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ConsPlusNormal"/>
              <w:ind w:firstLine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0,00</w:t>
            </w:r>
          </w:p>
        </w:tc>
      </w:tr>
    </w:tbl>
    <w:p>
      <w:pPr>
        <w:pStyle w:val="Normal"/>
        <w:tabs>
          <w:tab w:val="clear" w:pos="709"/>
          <w:tab w:val="left" w:pos="8080" w:leader="none"/>
        </w:tabs>
        <w:ind w:left="0" w:right="0" w:hanging="0"/>
        <w:jc w:val="right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»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7"/>
      <w:type w:val="nextPage"/>
      <w:pgSz w:w="11906" w:h="16838"/>
      <w:pgMar w:left="1418" w:right="843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  <w:font w:name="Courier New">
    <w:charset w:val="cc"/>
    <w:family w:val="moder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decimal"/>
      <w:lvlText w:val="%1."/>
      <w:lvlJc w:val="left"/>
      <w:pPr>
        <w:ind w:left="1410" w:hanging="870"/>
      </w:pPr>
      <w:rPr/>
    </w:lvl>
    <w:lvl w:ilvl="1">
      <w:start w:val="9"/>
      <w:numFmt w:val="decimal"/>
      <w:lvlText w:val="%1.%2."/>
      <w:lvlJc w:val="left"/>
      <w:pPr>
        <w:ind w:left="1260" w:hanging="720"/>
      </w:pPr>
      <w:rPr/>
    </w:lvl>
    <w:lvl w:ilvl="2">
      <w:start w:val="1"/>
      <w:numFmt w:val="decimal"/>
      <w:lvlText w:val="%1.%2.%3."/>
      <w:lvlJc w:val="left"/>
      <w:pPr>
        <w:ind w:left="1260" w:hanging="720"/>
      </w:pPr>
      <w:rPr/>
    </w:lvl>
    <w:lvl w:ilvl="3">
      <w:start w:val="1"/>
      <w:numFmt w:val="decimal"/>
      <w:lvlText w:val="%1.%2.%3.%4."/>
      <w:lvlJc w:val="left"/>
      <w:pPr>
        <w:ind w:left="1620" w:hanging="1080"/>
      </w:pPr>
      <w:rPr/>
    </w:lvl>
    <w:lvl w:ilvl="4">
      <w:start w:val="1"/>
      <w:numFmt w:val="decimal"/>
      <w:lvlText w:val="%1.%2.%3.%4.%5."/>
      <w:lvlJc w:val="left"/>
      <w:pPr>
        <w:ind w:left="1620" w:hanging="1080"/>
      </w:pPr>
      <w:rPr/>
    </w:lvl>
    <w:lvl w:ilvl="5">
      <w:start w:val="1"/>
      <w:numFmt w:val="decimal"/>
      <w:lvlText w:val="%1.%2.%3.%4.%5.%6."/>
      <w:lvlJc w:val="left"/>
      <w:pPr>
        <w:ind w:left="1980" w:hanging="1440"/>
      </w:pPr>
      <w:rPr/>
    </w:lvl>
    <w:lvl w:ilvl="6">
      <w:start w:val="1"/>
      <w:numFmt w:val="decimal"/>
      <w:lvlText w:val="%1.%2.%3.%4.%5.%6.%7."/>
      <w:lvlJc w:val="left"/>
      <w:pPr>
        <w:ind w:left="2340" w:hanging="1800"/>
      </w:pPr>
      <w:rPr/>
    </w:lvl>
    <w:lvl w:ilvl="7">
      <w:start w:val="1"/>
      <w:numFmt w:val="decimal"/>
      <w:lvlText w:val="%1.%2.%3.%4.%5.%6.%7.%8."/>
      <w:lvlJc w:val="left"/>
      <w:pPr>
        <w:ind w:left="2340" w:hanging="1800"/>
      </w:pPr>
      <w:rPr/>
    </w:lvl>
    <w:lvl w:ilvl="8">
      <w:start w:val="1"/>
      <w:numFmt w:val="decimal"/>
      <w:lvlText w:val="%1.%2.%3.%4.%5.%6.%7.%8.%9."/>
      <w:lvlJc w:val="left"/>
      <w:pPr>
        <w:ind w:left="2700" w:hanging="216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1.%2."/>
      <w:lvlJc w:val="left"/>
      <w:pPr>
        <w:ind w:left="1080" w:hanging="720"/>
      </w:pPr>
      <w:rPr/>
    </w:lvl>
    <w:lvl w:ilvl="2">
      <w:start w:val="1"/>
      <w:numFmt w:val="decimal"/>
      <w:lvlText w:val="%1.%2.%3."/>
      <w:lvlJc w:val="left"/>
      <w:pPr>
        <w:ind w:left="1080" w:hanging="720"/>
      </w:pPr>
      <w:rPr/>
    </w:lvl>
    <w:lvl w:ilvl="3">
      <w:start w:val="1"/>
      <w:numFmt w:val="decimal"/>
      <w:lvlText w:val="%1.%2.%3.%4."/>
      <w:lvlJc w:val="left"/>
      <w:pPr>
        <w:ind w:left="1440" w:hanging="1080"/>
      </w:pPr>
      <w:rPr/>
    </w:lvl>
    <w:lvl w:ilvl="4">
      <w:start w:val="1"/>
      <w:numFmt w:val="decimal"/>
      <w:lvlText w:val="%1.%2.%3.%4.%5."/>
      <w:lvlJc w:val="left"/>
      <w:pPr>
        <w:ind w:left="1440" w:hanging="1080"/>
      </w:pPr>
      <w:rPr/>
    </w:lvl>
    <w:lvl w:ilvl="5">
      <w:start w:val="1"/>
      <w:numFmt w:val="decimal"/>
      <w:lvlText w:val="%1.%2.%3.%4.%5.%6."/>
      <w:lvlJc w:val="left"/>
      <w:pPr>
        <w:ind w:left="1800" w:hanging="1440"/>
      </w:pPr>
      <w:rPr/>
    </w:lvl>
    <w:lvl w:ilvl="6">
      <w:start w:val="1"/>
      <w:numFmt w:val="decimal"/>
      <w:lvlText w:val="%1.%2.%3.%4.%5.%6.%7."/>
      <w:lvlJc w:val="left"/>
      <w:pPr>
        <w:ind w:left="2160" w:hanging="1800"/>
      </w:pPr>
      <w:rPr/>
    </w:lvl>
    <w:lvl w:ilvl="7">
      <w:start w:val="1"/>
      <w:numFmt w:val="decimal"/>
      <w:lvlText w:val="%1.%2.%3.%4.%5.%6.%7.%8."/>
      <w:lvlJc w:val="left"/>
      <w:pPr>
        <w:ind w:left="2160" w:hanging="1800"/>
      </w:pPr>
      <w:rPr/>
    </w:lvl>
    <w:lvl w:ilvl="8">
      <w:start w:val="1"/>
      <w:numFmt w:val="decimal"/>
      <w:lvlText w:val="%1.%2.%3.%4.%5.%6.%7.%8.%9."/>
      <w:lvlJc w:val="left"/>
      <w:pPr>
        <w:ind w:left="2520" w:hanging="2160"/>
      </w:pPr>
      <w:rPr/>
    </w:lvl>
  </w:abstractNum>
  <w:abstractNum w:abstractNumId="5">
    <w:lvl w:ilvl="0">
      <w:start w:val="4"/>
      <w:numFmt w:val="decimal"/>
      <w:lvlText w:val="%1."/>
      <w:lvlJc w:val="left"/>
      <w:pPr>
        <w:ind w:left="450" w:hanging="450"/>
      </w:pPr>
      <w:rPr>
        <w:sz w:val="28"/>
        <w:szCs w:val="28"/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sz w:val="28"/>
        <w:szCs w:val="28"/>
        <w:rFonts w:ascii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sz w:val="28"/>
        <w:szCs w:val="28"/>
        <w:rFonts w:ascii="Times New Roman" w:hAnsi="Times New Roman" w:cs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sz w:val="28"/>
        <w:szCs w:val="28"/>
        <w:rFonts w:ascii="Times New Roman" w:hAnsi="Times New Roman"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sz w:val="28"/>
        <w:szCs w:val="28"/>
        <w:rFonts w:ascii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sz w:val="28"/>
        <w:szCs w:val="28"/>
        <w:rFonts w:ascii="Times New Roman" w:hAnsi="Times New Roman" w:cs="Times New Roman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sz w:val="28"/>
        <w:szCs w:val="28"/>
        <w:rFonts w:ascii="Times New Roman" w:hAnsi="Times New Roman" w:cs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sz w:val="28"/>
        <w:szCs w:val="28"/>
        <w:rFonts w:ascii="Times New Roman" w:hAnsi="Times New Roman" w:cs="Times New Roman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sz w:val="28"/>
        <w:szCs w:val="28"/>
        <w:rFonts w:ascii="Times New Roman" w:hAnsi="Times New Roman" w:cs="Times New Roman"/>
      </w:rPr>
    </w:lvl>
  </w:abstractNum>
  <w:abstractNum w:abstractNumId="6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9"/>
      <w:numFmt w:val="decimal"/>
      <w:lvlText w:val="%1.%2."/>
      <w:lvlJc w:val="left"/>
      <w:pPr>
        <w:ind w:left="360" w:hanging="36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720" w:hanging="72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080" w:hanging="1080"/>
      </w:pPr>
      <w:rPr/>
    </w:lvl>
    <w:lvl w:ilvl="6">
      <w:start w:val="1"/>
      <w:numFmt w:val="decimal"/>
      <w:lvlText w:val="%1.%2.%3.%4.%5.%6.%7."/>
      <w:lvlJc w:val="left"/>
      <w:pPr>
        <w:ind w:left="1440" w:hanging="1440"/>
      </w:pPr>
      <w:rPr/>
    </w:lvl>
    <w:lvl w:ilvl="7">
      <w:start w:val="1"/>
      <w:numFmt w:val="decimal"/>
      <w:lvlText w:val="%1.%2.%3.%4.%5.%6.%7.%8."/>
      <w:lvlJc w:val="left"/>
      <w:pPr>
        <w:ind w:left="1440" w:hanging="1440"/>
      </w:pPr>
      <w:rPr/>
    </w:lvl>
    <w:lvl w:ilvl="8">
      <w:start w:val="1"/>
      <w:numFmt w:val="decimal"/>
      <w:lvlText w:val="%1.%2.%3.%4.%5.%6.%7.%8.%9."/>
      <w:lvlJc w:val="left"/>
      <w:pPr>
        <w:ind w:left="1800" w:hanging="180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1.%2."/>
      <w:lvlJc w:val="left"/>
      <w:pPr>
        <w:ind w:left="1112" w:hanging="720"/>
      </w:pPr>
      <w:rPr/>
    </w:lvl>
    <w:lvl w:ilvl="2">
      <w:start w:val="1"/>
      <w:numFmt w:val="decimal"/>
      <w:lvlText w:val="%1.%2.%3."/>
      <w:lvlJc w:val="left"/>
      <w:pPr>
        <w:ind w:left="1080" w:hanging="720"/>
      </w:pPr>
      <w:rPr/>
    </w:lvl>
    <w:lvl w:ilvl="3">
      <w:start w:val="1"/>
      <w:numFmt w:val="decimal"/>
      <w:lvlText w:val="%1.%2.%3.%4."/>
      <w:lvlJc w:val="left"/>
      <w:pPr>
        <w:ind w:left="1440" w:hanging="1080"/>
      </w:pPr>
      <w:rPr/>
    </w:lvl>
    <w:lvl w:ilvl="4">
      <w:start w:val="1"/>
      <w:numFmt w:val="decimal"/>
      <w:lvlText w:val="%1.%2.%3.%4.%5."/>
      <w:lvlJc w:val="left"/>
      <w:pPr>
        <w:ind w:left="1440" w:hanging="1080"/>
      </w:pPr>
      <w:rPr/>
    </w:lvl>
    <w:lvl w:ilvl="5">
      <w:start w:val="1"/>
      <w:numFmt w:val="decimal"/>
      <w:lvlText w:val="%1.%2.%3.%4.%5.%6."/>
      <w:lvlJc w:val="left"/>
      <w:pPr>
        <w:ind w:left="1800" w:hanging="1440"/>
      </w:pPr>
      <w:rPr/>
    </w:lvl>
    <w:lvl w:ilvl="6">
      <w:start w:val="1"/>
      <w:numFmt w:val="decimal"/>
      <w:lvlText w:val="%1.%2.%3.%4.%5.%6.%7."/>
      <w:lvlJc w:val="left"/>
      <w:pPr>
        <w:ind w:left="2160" w:hanging="1800"/>
      </w:pPr>
      <w:rPr/>
    </w:lvl>
    <w:lvl w:ilvl="7">
      <w:start w:val="1"/>
      <w:numFmt w:val="decimal"/>
      <w:lvlText w:val="%1.%2.%3.%4.%5.%6.%7.%8."/>
      <w:lvlJc w:val="left"/>
      <w:pPr>
        <w:ind w:left="2160" w:hanging="1800"/>
      </w:pPr>
      <w:rPr/>
    </w:lvl>
    <w:lvl w:ilvl="8">
      <w:start w:val="1"/>
      <w:numFmt w:val="decimal"/>
      <w:lvlText w:val="%1.%2.%3.%4.%5.%6.%7.%8.%9."/>
      <w:lvlJc w:val="left"/>
      <w:pPr>
        <w:ind w:left="2520" w:hanging="2160"/>
      </w:pPr>
      <w:rPr/>
    </w:lvl>
  </w:abstractNum>
  <w:abstractNum w:abstractNumId="8">
    <w:lvl w:ilvl="0">
      <w:start w:val="5"/>
      <w:numFmt w:val="decimal"/>
      <w:lvlText w:val="%1."/>
      <w:lvlJc w:val="left"/>
      <w:pPr>
        <w:ind w:left="450" w:hanging="450"/>
      </w:pPr>
      <w:rPr/>
    </w:lvl>
    <w:lvl w:ilvl="1">
      <w:start w:val="1"/>
      <w:numFmt w:val="decimal"/>
      <w:lvlText w:val="%1.%2."/>
      <w:lvlJc w:val="left"/>
      <w:pPr>
        <w:ind w:left="720" w:hanging="72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1080" w:hanging="108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440" w:hanging="1440"/>
      </w:pPr>
      <w:rPr/>
    </w:lvl>
    <w:lvl w:ilvl="6">
      <w:start w:val="1"/>
      <w:numFmt w:val="decimal"/>
      <w:lvlText w:val="%1.%2.%3.%4.%5.%6.%7."/>
      <w:lvlJc w:val="left"/>
      <w:pPr>
        <w:ind w:left="1800" w:hanging="1800"/>
      </w:pPr>
      <w:rPr/>
    </w:lvl>
    <w:lvl w:ilvl="7">
      <w:start w:val="1"/>
      <w:numFmt w:val="decimal"/>
      <w:lvlText w:val="%1.%2.%3.%4.%5.%6.%7.%8."/>
      <w:lvlJc w:val="left"/>
      <w:pPr>
        <w:ind w:left="1800" w:hanging="1800"/>
      </w:pPr>
      <w:rPr/>
    </w:lvl>
    <w:lvl w:ilvl="8">
      <w:start w:val="1"/>
      <w:numFmt w:val="decimal"/>
      <w:lvlText w:val="%1.%2.%3.%4.%5.%6.%7.%8.%9."/>
      <w:lvlJc w:val="left"/>
      <w:pPr>
        <w:ind w:left="2160" w:hanging="2160"/>
      </w:pPr>
      <w:rPr/>
    </w:lvl>
  </w:abstractNum>
  <w:abstractNum w:abstractNumId="9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9"/>
      <w:numFmt w:val="decimal"/>
      <w:lvlText w:val="%1.%2."/>
      <w:lvlJc w:val="left"/>
      <w:pPr>
        <w:ind w:left="720" w:hanging="360"/>
      </w:pPr>
      <w:rPr/>
    </w:lvl>
    <w:lvl w:ilvl="2">
      <w:start w:val="1"/>
      <w:numFmt w:val="decimal"/>
      <w:lvlText w:val="%1.%2.%3."/>
      <w:lvlJc w:val="left"/>
      <w:pPr>
        <w:ind w:left="1440" w:hanging="720"/>
      </w:pPr>
      <w:rPr/>
    </w:lvl>
    <w:lvl w:ilvl="3">
      <w:start w:val="1"/>
      <w:numFmt w:val="decimal"/>
      <w:lvlText w:val="%1.%2.%3.%4."/>
      <w:lvlJc w:val="left"/>
      <w:pPr>
        <w:ind w:left="1800" w:hanging="720"/>
      </w:pPr>
      <w:rPr/>
    </w:lvl>
    <w:lvl w:ilvl="4">
      <w:start w:val="1"/>
      <w:numFmt w:val="decimal"/>
      <w:lvlText w:val="%1.%2.%3.%4.%5."/>
      <w:lvlJc w:val="left"/>
      <w:pPr>
        <w:ind w:left="2520" w:hanging="1080"/>
      </w:pPr>
      <w:rPr/>
    </w:lvl>
    <w:lvl w:ilvl="5">
      <w:start w:val="1"/>
      <w:numFmt w:val="decimal"/>
      <w:lvlText w:val="%1.%2.%3.%4.%5.%6."/>
      <w:lvlJc w:val="left"/>
      <w:pPr>
        <w:ind w:left="2880" w:hanging="1080"/>
      </w:pPr>
      <w:rPr/>
    </w:lvl>
    <w:lvl w:ilvl="6">
      <w:start w:val="1"/>
      <w:numFmt w:val="decimal"/>
      <w:lvlText w:val="%1.%2.%3.%4.%5.%6.%7."/>
      <w:lvlJc w:val="left"/>
      <w:pPr>
        <w:ind w:left="3600" w:hanging="1440"/>
      </w:pPr>
      <w:rPr/>
    </w:lvl>
    <w:lvl w:ilvl="7">
      <w:start w:val="1"/>
      <w:numFmt w:val="decimal"/>
      <w:lvlText w:val="%1.%2.%3.%4.%5.%6.%7.%8."/>
      <w:lvlJc w:val="left"/>
      <w:pPr>
        <w:ind w:left="3960" w:hanging="1440"/>
      </w:pPr>
      <w:rPr/>
    </w:lvl>
    <w:lvl w:ilvl="8">
      <w:start w:val="1"/>
      <w:numFmt w:val="decimal"/>
      <w:lvlText w:val="%1.%2.%3.%4.%5.%6.%7.%8.%9."/>
      <w:lvlJc w:val="left"/>
      <w:pPr>
        <w:ind w:left="4680" w:hanging="1800"/>
      </w:pPr>
      <w:rPr/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1.%2."/>
      <w:lvlJc w:val="left"/>
      <w:pPr>
        <w:ind w:left="1080" w:hanging="720"/>
      </w:pPr>
      <w:rPr/>
    </w:lvl>
    <w:lvl w:ilvl="2">
      <w:start w:val="1"/>
      <w:numFmt w:val="decimal"/>
      <w:lvlText w:val="%1.%2.%3."/>
      <w:lvlJc w:val="left"/>
      <w:pPr>
        <w:ind w:left="1080" w:hanging="720"/>
      </w:pPr>
      <w:rPr/>
    </w:lvl>
    <w:lvl w:ilvl="3">
      <w:start w:val="1"/>
      <w:numFmt w:val="decimal"/>
      <w:lvlText w:val="%1.%2.%3.%4."/>
      <w:lvlJc w:val="left"/>
      <w:pPr>
        <w:ind w:left="1440" w:hanging="1080"/>
      </w:pPr>
      <w:rPr/>
    </w:lvl>
    <w:lvl w:ilvl="4">
      <w:start w:val="1"/>
      <w:numFmt w:val="decimal"/>
      <w:lvlText w:val="%1.%2.%3.%4.%5."/>
      <w:lvlJc w:val="left"/>
      <w:pPr>
        <w:ind w:left="1440" w:hanging="1080"/>
      </w:pPr>
      <w:rPr/>
    </w:lvl>
    <w:lvl w:ilvl="5">
      <w:start w:val="1"/>
      <w:numFmt w:val="decimal"/>
      <w:lvlText w:val="%1.%2.%3.%4.%5.%6."/>
      <w:lvlJc w:val="left"/>
      <w:pPr>
        <w:ind w:left="1800" w:hanging="1440"/>
      </w:pPr>
      <w:rPr/>
    </w:lvl>
    <w:lvl w:ilvl="6">
      <w:start w:val="1"/>
      <w:numFmt w:val="decimal"/>
      <w:lvlText w:val="%1.%2.%3.%4.%5.%6.%7."/>
      <w:lvlJc w:val="left"/>
      <w:pPr>
        <w:ind w:left="2160" w:hanging="1800"/>
      </w:pPr>
      <w:rPr/>
    </w:lvl>
    <w:lvl w:ilvl="7">
      <w:start w:val="1"/>
      <w:numFmt w:val="decimal"/>
      <w:lvlText w:val="%1.%2.%3.%4.%5.%6.%7.%8."/>
      <w:lvlJc w:val="left"/>
      <w:pPr>
        <w:ind w:left="2160" w:hanging="1800"/>
      </w:pPr>
      <w:rPr/>
    </w:lvl>
    <w:lvl w:ilvl="8">
      <w:start w:val="1"/>
      <w:numFmt w:val="decimal"/>
      <w:lvlText w:val="%1.%2.%3.%4.%5.%6.%7.%8.%9."/>
      <w:lvlJc w:val="left"/>
      <w:pPr>
        <w:ind w:left="2520" w:hanging="21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Маркеры списка"/>
    <w:qFormat/>
    <w:rPr>
      <w:rFonts w:ascii="OpenSymbol" w:hAnsi="OpenSymbol" w:eastAsia="OpenSymbol" w:cs="OpenSymbol"/>
    </w:rPr>
  </w:style>
  <w:style w:type="character" w:styleId="Style13">
    <w:name w:val="Основной шрифт абзаца"/>
    <w:qFormat/>
    <w:rPr/>
  </w:style>
  <w:style w:type="character" w:styleId="Style14">
    <w:name w:val="Номер страницы"/>
    <w:basedOn w:val="Style13"/>
    <w:rPr/>
  </w:style>
  <w:style w:type="character" w:styleId="WW8Num30z0">
    <w:name w:val="WW8Num30z0"/>
    <w:qFormat/>
    <w:rPr>
      <w:rFonts w:ascii="Times New Roman" w:hAnsi="Times New Roman" w:cs="Times New Roman"/>
      <w:sz w:val="28"/>
      <w:szCs w:val="28"/>
    </w:rPr>
  </w:style>
  <w:style w:type="character" w:styleId="WW8Num33z0">
    <w:name w:val="WW8Num33z0"/>
    <w:qFormat/>
    <w:rPr/>
  </w:style>
  <w:style w:type="character" w:styleId="WW8Num31z0">
    <w:name w:val="WW8Num31z0"/>
    <w:qFormat/>
    <w:rPr/>
  </w:style>
  <w:style w:type="paragraph" w:styleId="Style15" w:customStyle="1">
    <w:name w:val="Заголовок"/>
    <w:basedOn w:val="Normal"/>
    <w:next w:val="Style16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5234d"/>
    <w:pPr/>
    <w:rPr>
      <w:rFonts w:cs="Mangal"/>
    </w:rPr>
  </w:style>
  <w:style w:type="paragraph" w:styleId="Style18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20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4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5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Cell">
    <w:name w:val="ConsPlusCell"/>
    <w:qFormat/>
    <w:pPr>
      <w:widowControl w:val="false"/>
      <w:autoSpaceDE w:val="false"/>
      <w:bidi w:val="0"/>
      <w:spacing w:before="0" w:after="0"/>
      <w:jc w:val="left"/>
    </w:pPr>
    <w:rPr>
      <w:rFonts w:ascii="Arial" w:hAnsi="Arial" w:eastAsia="Times New Roman" w:cs="Arial"/>
      <w:color w:val="auto"/>
      <w:kern w:val="2"/>
      <w:sz w:val="20"/>
      <w:szCs w:val="20"/>
      <w:lang w:val="ru-RU" w:bidi="ar-SA" w:eastAsia="zh-CN"/>
    </w:rPr>
  </w:style>
  <w:style w:type="paragraph" w:styleId="Style26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ConsPlusNonformat">
    <w:name w:val="ConsPlusNonformat"/>
    <w:qFormat/>
    <w:pPr>
      <w:widowControl w:val="false"/>
      <w:autoSpaceDE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2"/>
      <w:sz w:val="20"/>
      <w:szCs w:val="20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2">
    <w:name w:val="WW8Num2"/>
    <w:qFormat/>
  </w:style>
  <w:style w:type="numbering" w:styleId="WW8Num18">
    <w:name w:val="WW8Num18"/>
    <w:qFormat/>
  </w:style>
  <w:style w:type="numbering" w:styleId="WW8Num30">
    <w:name w:val="WW8Num30"/>
    <w:qFormat/>
  </w:style>
  <w:style w:type="numbering" w:styleId="WW8Num10">
    <w:name w:val="WW8Num10"/>
    <w:qFormat/>
  </w:style>
  <w:style w:type="numbering" w:styleId="WW8Num33">
    <w:name w:val="WW8Num33"/>
    <w:qFormat/>
  </w:style>
  <w:style w:type="numbering" w:styleId="WW8Num20">
    <w:name w:val="WW8Num20"/>
    <w:qFormat/>
  </w:style>
  <w:style w:type="numbering" w:styleId="WW8Num31">
    <w:name w:val="WW8Num31"/>
    <w:qFormat/>
  </w:style>
  <w:style w:type="numbering" w:styleId="WW8Num5">
    <w:name w:val="WW8Num5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header" Target="header5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Application>LibreOffice/6.3.4.2$Windows_X86_64 LibreOffice_project/60da17e045e08f1793c57c00ba83cdfce946d0aa</Application>
  <Pages>13</Pages>
  <Words>2307</Words>
  <Characters>14959</Characters>
  <CharactersWithSpaces>16241</CharactersWithSpaces>
  <Paragraphs>1035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2020-03-16T11:58:00Z</cp:lastPrinted>
  <dcterms:modified xsi:type="dcterms:W3CDTF">2020-03-16T11:58:29Z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