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109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1191" w:right="1191" w:hanging="0"/>
        <w:jc w:val="center"/>
        <w:rPr/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21.08.2017 года № 414 «Об утверждении </w:t>
      </w:r>
      <w:r>
        <w:rPr>
          <w:b/>
          <w:sz w:val="28"/>
          <w:szCs w:val="28"/>
        </w:rPr>
        <w:t>муниципальной программы «Пожарная безопасность объектов и населенных пунктов Шарангского муниципального района на 2018-2020 годы»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pacing w:lineRule="auto" w:line="360"/>
        <w:ind w:left="0" w:right="0" w:firstLine="709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решением Земского собрания от 20.12.2019 года № 50 «О районном бюджете на 2020 год и плановый период 2021-2022 годов» администрация Шарангского муниципального района</w:t>
      </w:r>
      <w:r>
        <w:rPr>
          <w:b/>
          <w:bCs/>
          <w:sz w:val="28"/>
          <w:szCs w:val="28"/>
        </w:rPr>
        <w:t xml:space="preserve"> п о с т а н о в л я е т</w:t>
      </w:r>
      <w:r>
        <w:rPr>
          <w:rFonts w:eastAsia="Calibri"/>
          <w:b/>
          <w:bCs/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eastAsia="Calibri"/>
          <w:sz w:val="28"/>
          <w:szCs w:val="28"/>
        </w:rPr>
        <w:t xml:space="preserve">1. </w:t>
      </w:r>
      <w:r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 xml:space="preserve">от 21.08.2017 года № 414 «Об утверждении </w:t>
      </w:r>
      <w:r>
        <w:rPr>
          <w:sz w:val="28"/>
          <w:szCs w:val="28"/>
        </w:rPr>
        <w:t>муниципальной программы «Пожарная безопасность объектов и населенных пунктов Шарангского муниципального района на 2018-2020 годы» (далее соответственно- постановление, муниципальная программа):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В муниципальной программе, утвержденной постановлением: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1.1.1. В разделе 1 «</w:t>
      </w:r>
      <w:r>
        <w:rPr>
          <w:sz w:val="28"/>
          <w:szCs w:val="28"/>
        </w:rPr>
        <w:t>Паспорт программы» пункт 1.9.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276"/>
        <w:ind w:firstLine="540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widowControl w:val="false"/>
        <w:numPr>
          <w:ilvl w:val="0"/>
          <w:numId w:val="0"/>
        </w:numPr>
        <w:spacing w:lineRule="auto" w:line="276"/>
        <w:ind w:firstLine="540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  <w:t>«1.9. Объемы и источники финансирования программы, тыс.руб.</w:t>
      </w:r>
    </w:p>
    <w:p>
      <w:pPr>
        <w:pStyle w:val="Normal"/>
        <w:widowControl w:val="false"/>
        <w:numPr>
          <w:ilvl w:val="0"/>
          <w:numId w:val="0"/>
        </w:numPr>
        <w:spacing w:lineRule="auto" w:line="276"/>
        <w:ind w:firstLine="540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525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  <w:tblLook w:val="04a0"/>
      </w:tblPr>
      <w:tblGrid>
        <w:gridCol w:w="2835"/>
        <w:gridCol w:w="1245"/>
        <w:gridCol w:w="1245"/>
        <w:gridCol w:w="1200"/>
        <w:gridCol w:w="3000"/>
      </w:tblGrid>
      <w:tr>
        <w:trPr>
          <w:trHeight w:val="400" w:hRule="atLeast"/>
        </w:trPr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66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Годы </w:t>
            </w:r>
          </w:p>
        </w:tc>
      </w:tr>
      <w:tr>
        <w:trPr>
          <w:trHeight w:val="600" w:hRule="atLeast"/>
        </w:trPr>
        <w:tc>
          <w:tcPr>
            <w:tcW w:w="28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/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Федеральный бюджет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Областной бюджет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Районный бюджет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5685,2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7553,9</w:t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7962,3</w:t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21201,4</w:t>
            </w:r>
          </w:p>
        </w:tc>
      </w:tr>
      <w:tr>
        <w:trPr/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Прочие источники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по программе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5685,2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7553,9</w:t>
            </w: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7962,3</w:t>
            </w:r>
          </w:p>
        </w:tc>
        <w:tc>
          <w:tcPr>
            <w:tcW w:w="3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21201,4</w:t>
            </w:r>
          </w:p>
        </w:tc>
      </w:tr>
    </w:tbl>
    <w:p>
      <w:pPr>
        <w:pStyle w:val="Normal"/>
        <w:spacing w:lineRule="auto" w:line="360"/>
        <w:jc w:val="right"/>
        <w:rPr>
          <w:sz w:val="24"/>
          <w:szCs w:val="24"/>
        </w:rPr>
      </w:pPr>
      <w:r>
        <w:rPr>
          <w:sz w:val="24"/>
          <w:szCs w:val="24"/>
        </w:rPr>
        <w:t>».</w:t>
      </w:r>
    </w:p>
    <w:p>
      <w:pPr>
        <w:pStyle w:val="Normal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>1.2. В разделе 2 «Текст программы» пункты 2.5., 2.6. изложить в следующей редакции: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widowControl w:val="false"/>
        <w:numPr>
          <w:ilvl w:val="0"/>
          <w:numId w:val="0"/>
        </w:numPr>
        <w:spacing w:lineRule="auto" w:line="276"/>
        <w:ind w:firstLine="540"/>
        <w:jc w:val="both"/>
        <w:outlineLvl w:val="3"/>
        <w:rPr>
          <w:sz w:val="24"/>
          <w:szCs w:val="28"/>
        </w:rPr>
      </w:pPr>
      <w:r>
        <w:rPr/>
      </w:r>
    </w:p>
    <w:p>
      <w:pPr>
        <w:pStyle w:val="Normal"/>
        <w:widowControl w:val="false"/>
        <w:numPr>
          <w:ilvl w:val="0"/>
          <w:numId w:val="0"/>
        </w:numPr>
        <w:spacing w:lineRule="auto" w:line="276"/>
        <w:ind w:firstLine="540"/>
        <w:jc w:val="both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«2.5. Система программных мероприятий.</w:t>
      </w:r>
    </w:p>
    <w:p>
      <w:pPr>
        <w:pStyle w:val="Normal"/>
        <w:widowControl w:val="false"/>
        <w:spacing w:lineRule="auto" w:line="276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510" w:type="dxa"/>
        <w:jc w:val="left"/>
        <w:tblInd w:w="60" w:type="dxa"/>
        <w:tblCellMar>
          <w:top w:w="0" w:type="dxa"/>
          <w:left w:w="75" w:type="dxa"/>
          <w:bottom w:w="0" w:type="dxa"/>
          <w:right w:w="75" w:type="dxa"/>
        </w:tblCellMar>
        <w:tblLook w:val="04a0"/>
      </w:tblPr>
      <w:tblGrid>
        <w:gridCol w:w="570"/>
        <w:gridCol w:w="3630"/>
        <w:gridCol w:w="1530"/>
        <w:gridCol w:w="1860"/>
        <w:gridCol w:w="1305"/>
        <w:gridCol w:w="1065"/>
        <w:gridCol w:w="1590"/>
        <w:gridCol w:w="1365"/>
        <w:gridCol w:w="1290"/>
        <w:gridCol w:w="1305"/>
      </w:tblGrid>
      <w:tr>
        <w:trPr/>
        <w:tc>
          <w:tcPr>
            <w:tcW w:w="5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N </w:t>
            </w:r>
          </w:p>
        </w:tc>
        <w:tc>
          <w:tcPr>
            <w:tcW w:w="36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реализации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исполнитель</w:t>
            </w:r>
          </w:p>
        </w:tc>
        <w:tc>
          <w:tcPr>
            <w:tcW w:w="13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661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Предполагаемый объем финансирования, тыс. руб.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областной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источники</w:t>
            </w:r>
          </w:p>
        </w:tc>
      </w:tr>
      <w:tr>
        <w:trPr/>
        <w:tc>
          <w:tcPr>
            <w:tcW w:w="5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6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15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18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1551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Задача 1 Формирование навыков предупреждения и поведения населения Шарангского муниципального района в чрезвычайных ситуациях</w:t>
            </w:r>
          </w:p>
        </w:tc>
      </w:tr>
      <w:tr>
        <w:trPr>
          <w:trHeight w:val="211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изготовление наглядных материалов на противопожарную тематику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42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бланков для проведения пожарно-профилактической работы «обследование жилищного фонда»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р.п. Шаранга (по согласованию)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 по задаче 1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51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Задача 2 Создание необходимых предпосылок для укрепления пожарной безопасности населенных пунктов Шарангского муниципального района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Ремонт пожарных гидрантов и водопроводных колодцев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78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Устройство минерализированных полос (опашка)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29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условий для забора воды (углубление дна, очистка и обустройство пожарных водоемов)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8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31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69,6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69,6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6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3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Установка противопожаных емкостей 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41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31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60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43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Оснащение подразделений муниципальной пожарной охраны техническим вооружением (пожарные мотопомпы) 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47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64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49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09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подразделений муниципальной пожарной охраны пожарно-техническим вооружением (пожарные рукава диаметром 51 мм)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51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82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88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65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 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подразделений муниципальной пожарной охраны боевой одеждой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2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69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2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7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подразделений муниципальной пожарной охраны пожарно-техническим вооружением (пожарные рукава диаметром 66 мм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5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44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74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26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20162,9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20162,9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8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5370,2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5370,2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9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7145,4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7145,4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4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7647,3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7647,3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51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автономных пожарных извещателей населению относящемуся к «группе риска»: многодетным семьям; одиноким пенсионерам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5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77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32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06" w:hRule="atLeast"/>
        </w:trPr>
        <w:tc>
          <w:tcPr>
            <w:tcW w:w="57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проектно-сметной документации и проведение достоверности сметной стоимости по объектам противопожарной безопасности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84" w:hRule="atLeast"/>
        </w:trPr>
        <w:tc>
          <w:tcPr>
            <w:tcW w:w="57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62" w:hRule="atLeast"/>
        </w:trPr>
        <w:tc>
          <w:tcPr>
            <w:tcW w:w="57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65" w:hRule="atLeast"/>
        </w:trPr>
        <w:tc>
          <w:tcPr>
            <w:tcW w:w="57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(ремонт)пожарных боксов муниципальной пожарной охраны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98" w:hRule="atLeast"/>
        </w:trPr>
        <w:tc>
          <w:tcPr>
            <w:tcW w:w="57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4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74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 по задаче 2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21143,4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21143,4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5660,2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5660,2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7545,9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7545,9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7947,3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7947,3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51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Задача 3 Развитие добровольной пожарной охраны на территории Шарангского муниципального района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Коллективное страхование членов добровольной пожарной охраны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13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подразделений ДПО медицинскими укладками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42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4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7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15" w:hRule="atLeast"/>
        </w:trPr>
        <w:tc>
          <w:tcPr>
            <w:tcW w:w="57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6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Оснащение добровольных формирований повседневной специальной одеждой</w:t>
            </w:r>
          </w:p>
        </w:tc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2018-2020 гг.</w:t>
            </w:r>
          </w:p>
        </w:tc>
        <w:tc>
          <w:tcPr>
            <w:tcW w:w="18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57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03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25" w:hRule="atLeast"/>
        </w:trPr>
        <w:tc>
          <w:tcPr>
            <w:tcW w:w="57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 по задаче 3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 по программе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21201,4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21201,4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5685,2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5685,2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7553,9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7553,9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590" w:type="dxa"/>
            <w:gridSpan w:val="4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7962,3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7962,3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ectPr>
          <w:headerReference w:type="default" r:id="rId5"/>
          <w:type w:val="nextPage"/>
          <w:pgSz w:orient="landscape" w:w="16838" w:h="11906"/>
          <w:pgMar w:left="525" w:right="728" w:header="1134" w:top="1648" w:footer="0" w:bottom="1134" w:gutter="0"/>
          <w:pgNumType w:fmt="decimal"/>
          <w:formProt w:val="false"/>
          <w:textDirection w:val="lrTb"/>
        </w:sectPr>
        <w:pStyle w:val="Normal"/>
        <w:widowControl w:val="false"/>
        <w:numPr>
          <w:ilvl w:val="0"/>
          <w:numId w:val="0"/>
        </w:numPr>
        <w:ind w:firstLine="540"/>
        <w:jc w:val="both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ind w:firstLine="540"/>
        <w:jc w:val="both"/>
        <w:outlineLvl w:val="3"/>
        <w:rPr>
          <w:rFonts w:ascii="Times New Roman" w:hAnsi="Times New Roman"/>
          <w:sz w:val="24"/>
          <w:szCs w:val="24"/>
        </w:rPr>
      </w:pPr>
      <w:bookmarkStart w:id="0" w:name="Par325"/>
      <w:bookmarkEnd w:id="0"/>
      <w:r>
        <w:rPr>
          <w:rFonts w:ascii="Times New Roman" w:hAnsi="Times New Roman"/>
          <w:sz w:val="24"/>
          <w:szCs w:val="24"/>
        </w:rPr>
        <w:t>2.6. Ресурсное обеспечение программы.</w:t>
      </w:r>
    </w:p>
    <w:p>
      <w:p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Ресурсы, необходимые для реализации мероприятий муниципальной программы, представляются в разрезе мероприятий и в целом по программе в соответствии с представленной ниже табличной формой.</w:t>
      </w:r>
    </w:p>
    <w:p>
      <w:p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525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  <w:tblLook w:val="04a0"/>
      </w:tblPr>
      <w:tblGrid>
        <w:gridCol w:w="1530"/>
        <w:gridCol w:w="1305"/>
        <w:gridCol w:w="1185"/>
        <w:gridCol w:w="1590"/>
        <w:gridCol w:w="1305"/>
        <w:gridCol w:w="1245"/>
        <w:gridCol w:w="1365"/>
      </w:tblGrid>
      <w:tr>
        <w:trPr>
          <w:trHeight w:val="540" w:hRule="atLeast"/>
        </w:trPr>
        <w:tc>
          <w:tcPr>
            <w:tcW w:w="1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Задача </w:t>
            </w:r>
          </w:p>
        </w:tc>
        <w:tc>
          <w:tcPr>
            <w:tcW w:w="13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реали-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зации </w:t>
            </w:r>
          </w:p>
        </w:tc>
        <w:tc>
          <w:tcPr>
            <w:tcW w:w="669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Объем финансирования, тыс. руб. </w:t>
            </w:r>
          </w:p>
        </w:tc>
      </w:tr>
      <w:tr>
        <w:trPr>
          <w:trHeight w:val="540" w:hRule="atLeast"/>
        </w:trPr>
        <w:tc>
          <w:tcPr>
            <w:tcW w:w="153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Федеральный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Областной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Прочие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источники</w:t>
            </w:r>
          </w:p>
        </w:tc>
      </w:tr>
      <w:tr>
        <w:trPr/>
        <w:tc>
          <w:tcPr>
            <w:tcW w:w="15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</w:tr>
      <w:tr>
        <w:trPr>
          <w:trHeight w:val="360" w:hRule="atLeast"/>
        </w:trPr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Задача 1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Задача 2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21143,4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21143,4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5660,2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5660,2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7545,9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7545,9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7947,3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7947,3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85" w:hRule="atLeast"/>
        </w:trPr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Задача 3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75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35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по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программе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21201,4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21201,4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5685,2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5685,2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7553,9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7553,9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1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7962,3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7962,3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6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».</w:t>
      </w:r>
    </w:p>
    <w:p>
      <w:pPr>
        <w:pStyle w:val="Normal"/>
        <w:spacing w:lineRule="auto" w:line="360"/>
        <w:ind w:firstLine="567"/>
        <w:jc w:val="both"/>
        <w:rPr/>
      </w:pPr>
      <w:r>
        <w:rPr>
          <w:rFonts w:cs="Times New Roman"/>
          <w:b w:val="false"/>
          <w:sz w:val="28"/>
          <w:szCs w:val="28"/>
        </w:rPr>
        <w:t>2. Настоящее постановление вступает в силу со дня принятия.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LibreOffice/6.3.4.2$Windows_X86_64 LibreOffice_project/60da17e045e08f1793c57c00ba83cdfce946d0aa</Application>
  <Pages>7</Pages>
  <Words>985</Words>
  <Characters>5624</Characters>
  <CharactersWithSpaces>6229</CharactersWithSpaces>
  <Paragraphs>470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2020-03-13T10:15:56Z</cp:lastPrinted>
  <dcterms:modified xsi:type="dcterms:W3CDTF">2020-03-13T10:16:22Z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