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10.03.20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108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bCs/>
        </w:rPr>
      </w:pPr>
      <w:r>
        <w:rPr>
          <w:rFonts w:eastAsia="Times New Roman" w:cs="Times New Roman"/>
          <w:b/>
          <w:bCs/>
          <w:color w:val="00000A"/>
          <w:kern w:val="0"/>
          <w:sz w:val="28"/>
          <w:szCs w:val="28"/>
          <w:lang w:val="ru-RU" w:eastAsia="zh-CN" w:bidi="ar-SA"/>
        </w:rPr>
        <w:t>О внесении изменений в постановление администрации Шарангского муниципального района от 21.08.2017 года № 415 «Об утверждении муниципальной программы «</w:t>
      </w:r>
      <w:r>
        <w:rPr>
          <w:rFonts w:eastAsia="Times New Roman" w:cs="Times New Roman"/>
          <w:b/>
          <w:bCs/>
          <w:color w:val="00000A"/>
          <w:spacing w:val="-6"/>
          <w:kern w:val="0"/>
          <w:sz w:val="28"/>
          <w:szCs w:val="28"/>
          <w:lang w:val="ru-RU" w:eastAsia="zh-CN" w:bidi="ar-SA"/>
        </w:rPr>
        <w:t xml:space="preserve">Противодействие терроризму и профилактика экстремизма в </w:t>
      </w:r>
      <w:r>
        <w:rPr>
          <w:rFonts w:eastAsia="Times New Roman" w:cs="Times New Roman"/>
          <w:b/>
          <w:bCs/>
          <w:color w:val="00000A"/>
          <w:spacing w:val="-10"/>
          <w:kern w:val="0"/>
          <w:sz w:val="28"/>
          <w:szCs w:val="28"/>
          <w:lang w:val="ru-RU" w:eastAsia="zh-CN" w:bidi="ar-SA"/>
        </w:rPr>
        <w:t>Шарангском муниципальном районе</w:t>
      </w:r>
      <w:r>
        <w:rPr>
          <w:rFonts w:eastAsia="Times New Roman" w:cs="Times New Roman"/>
          <w:b/>
          <w:bCs/>
          <w:color w:val="00000A"/>
          <w:spacing w:val="-6"/>
          <w:kern w:val="0"/>
          <w:sz w:val="28"/>
          <w:szCs w:val="28"/>
          <w:lang w:val="ru-RU" w:eastAsia="zh-CN" w:bidi="ar-SA"/>
        </w:rPr>
        <w:t xml:space="preserve"> </w:t>
      </w:r>
      <w:r>
        <w:rPr>
          <w:rFonts w:eastAsia="Times New Roman" w:cs="Times New Roman"/>
          <w:b/>
          <w:bCs/>
          <w:color w:val="00000A"/>
          <w:kern w:val="0"/>
          <w:sz w:val="28"/>
          <w:szCs w:val="28"/>
          <w:lang w:val="ru-RU" w:eastAsia="zh-CN" w:bidi="ar-SA"/>
        </w:rPr>
        <w:t xml:space="preserve">на 2018-2020 годы» </w:t>
      </w:r>
      <w:r>
        <w:rPr>
          <w:b/>
          <w:bCs/>
          <w:sz w:val="28"/>
          <w:szCs w:val="28"/>
        </w:rPr>
        <w:t xml:space="preserve">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eastAsia="Calibri"/>
          <w:sz w:val="28"/>
          <w:szCs w:val="28"/>
        </w:rPr>
        <w:t xml:space="preserve">В соответствии с решением Земского собрания от 20.12.2019 года № 50 «О районном бюджете на 2020 год и плановый период 2021-2022 годов» администрация Шарангского муниципального района </w:t>
      </w:r>
      <w:r>
        <w:rPr>
          <w:rFonts w:eastAsia="Calibri"/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eastAsia="Calibri"/>
          <w:sz w:val="28"/>
          <w:szCs w:val="28"/>
        </w:rPr>
        <w:t xml:space="preserve">1. </w:t>
      </w:r>
      <w:r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 xml:space="preserve">от 21.08.2017 года № 415 «Об утверждении </w:t>
      </w:r>
      <w:r>
        <w:rPr>
          <w:sz w:val="28"/>
          <w:szCs w:val="28"/>
        </w:rPr>
        <w:t>муниципальной программы «</w:t>
      </w:r>
      <w:r>
        <w:rPr>
          <w:spacing w:val="-6"/>
          <w:sz w:val="28"/>
          <w:szCs w:val="28"/>
        </w:rPr>
        <w:t xml:space="preserve">Противодействие терроризму и профилактика экстремизма в </w:t>
      </w:r>
      <w:r>
        <w:rPr>
          <w:spacing w:val="-10"/>
          <w:sz w:val="28"/>
          <w:szCs w:val="28"/>
        </w:rPr>
        <w:t>Шарангском муниципальном районе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на 2018-2020 годы» (далее-соответственно- постановление, муниципальная программа).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 В муниципальной программе, утвержденной постановлением: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bCs/>
          <w:sz w:val="28"/>
          <w:szCs w:val="28"/>
        </w:rPr>
        <w:t>1.1.1. В разделе 1 «</w:t>
      </w:r>
      <w:r>
        <w:rPr>
          <w:sz w:val="28"/>
          <w:szCs w:val="28"/>
        </w:rPr>
        <w:t>Паспорт программы» пункт 1.9.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ind w:left="0" w:firstLine="540"/>
        <w:jc w:val="both"/>
        <w:outlineLvl w:val="3"/>
        <w:rPr>
          <w:sz w:val="24"/>
          <w:szCs w:val="24"/>
        </w:rPr>
      </w:pPr>
      <w:r>
        <w:rPr>
          <w:sz w:val="24"/>
          <w:szCs w:val="24"/>
        </w:rPr>
        <w:t>«1.9. Объемы и источники финансирования программы, тыс. руб.</w:t>
      </w:r>
    </w:p>
    <w:tbl>
      <w:tblPr>
        <w:tblW w:w="9645" w:type="dxa"/>
        <w:jc w:val="left"/>
        <w:tblInd w:w="0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2774"/>
        <w:gridCol w:w="1366"/>
        <w:gridCol w:w="1365"/>
        <w:gridCol w:w="1410"/>
        <w:gridCol w:w="2730"/>
      </w:tblGrid>
      <w:tr>
        <w:trPr>
          <w:trHeight w:val="400" w:hRule="atLeast"/>
        </w:trPr>
        <w:tc>
          <w:tcPr>
            <w:tcW w:w="27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687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Годы </w:t>
            </w:r>
          </w:p>
        </w:tc>
      </w:tr>
      <w:tr>
        <w:trPr>
          <w:trHeight w:val="600" w:hRule="atLeast"/>
        </w:trPr>
        <w:tc>
          <w:tcPr>
            <w:tcW w:w="2774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2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/>
        <w:tc>
          <w:tcPr>
            <w:tcW w:w="277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Федеральный бюджет 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77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Областной бюджет 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77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Районный бюджет 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2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</w:tr>
      <w:tr>
        <w:trPr/>
        <w:tc>
          <w:tcPr>
            <w:tcW w:w="277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Прочие источники </w:t>
            </w:r>
          </w:p>
        </w:tc>
        <w:tc>
          <w:tcPr>
            <w:tcW w:w="136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по программе 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</w:tr>
    </w:tbl>
    <w:p>
      <w:pPr>
        <w:pStyle w:val="Normal"/>
        <w:spacing w:lineRule="auto" w:line="360"/>
        <w:jc w:val="right"/>
        <w:rPr>
          <w:sz w:val="24"/>
          <w:szCs w:val="24"/>
        </w:rPr>
      </w:pPr>
      <w:r>
        <w:rPr>
          <w:sz w:val="24"/>
          <w:szCs w:val="24"/>
        </w:rPr>
        <w:t>».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615" w:top="672" w:footer="0" w:bottom="803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widowControl/>
        <w:suppressAutoHyphens w:val="true"/>
        <w:overflowPunct w:val="true"/>
        <w:bidi w:val="0"/>
        <w:spacing w:lineRule="auto" w:line="360" w:before="0" w:after="0"/>
        <w:ind w:left="0" w:right="0" w:firstLine="680"/>
        <w:jc w:val="both"/>
        <w:rPr>
          <w:sz w:val="28"/>
          <w:szCs w:val="28"/>
        </w:rPr>
      </w:pPr>
      <w:r>
        <w:rPr>
          <w:sz w:val="28"/>
          <w:szCs w:val="28"/>
        </w:rPr>
        <w:t>1.2. В разделе 2 «Текст программы» пункты 2.5., 2.6.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ind w:left="0" w:firstLine="540"/>
        <w:jc w:val="both"/>
        <w:outlineLvl w:val="3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«2.5. Система программных мероприятий.</w:t>
      </w:r>
    </w:p>
    <w:tbl>
      <w:tblPr>
        <w:tblW w:w="15555" w:type="dxa"/>
        <w:jc w:val="left"/>
        <w:tblInd w:w="0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45"/>
        <w:gridCol w:w="659"/>
        <w:gridCol w:w="2550"/>
        <w:gridCol w:w="1695"/>
        <w:gridCol w:w="2791"/>
        <w:gridCol w:w="1350"/>
        <w:gridCol w:w="1019"/>
        <w:gridCol w:w="1591"/>
        <w:gridCol w:w="1305"/>
        <w:gridCol w:w="1244"/>
        <w:gridCol w:w="1304"/>
      </w:tblGrid>
      <w:tr>
        <w:trPr/>
        <w:tc>
          <w:tcPr>
            <w:tcW w:w="70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N </w:t>
            </w:r>
          </w:p>
        </w:tc>
        <w:tc>
          <w:tcPr>
            <w:tcW w:w="2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6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27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Годы</w:t>
            </w:r>
          </w:p>
        </w:tc>
        <w:tc>
          <w:tcPr>
            <w:tcW w:w="6463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Предполагаемый объем финансирования, тыс. руб.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</w:tr>
      <w:tr>
        <w:trPr/>
        <w:tc>
          <w:tcPr>
            <w:tcW w:w="704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25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69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3 </w:t>
            </w:r>
          </w:p>
        </w:tc>
        <w:tc>
          <w:tcPr>
            <w:tcW w:w="27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7 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8 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9 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>
        <w:trPr/>
        <w:tc>
          <w:tcPr>
            <w:tcW w:w="15553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 Повышение уровня межведомственного взаимодействия по профилактике терроризма и экстремизма</w:t>
            </w:r>
          </w:p>
        </w:tc>
      </w:tr>
      <w:tr>
        <w:trPr>
          <w:trHeight w:val="377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миграционной обстановки на территории Шарангского муниципального района и оперативное информирование органов местного самоуправления о назревании негативных тенденций, условиях, способствующих совершению террористических и экстремистских акций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  <w:r>
              <w:rPr>
                <w:spacing w:val="-8"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br/>
            </w:r>
            <w:r>
              <w:rPr>
                <w:spacing w:val="-8"/>
                <w:sz w:val="24"/>
                <w:szCs w:val="24"/>
              </w:rPr>
              <w:t xml:space="preserve">миграционный пункт </w:t>
            </w:r>
            <w:r>
              <w:rPr>
                <w:spacing w:val="-6"/>
                <w:sz w:val="24"/>
                <w:szCs w:val="24"/>
              </w:rPr>
              <w:t>отделения полиции (дислокация п.г.т. Шаранга) МО МВД России «Уренский» (по согласованию</w:t>
            </w:r>
            <w:r>
              <w:rPr>
                <w:spacing w:val="-8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, администрации поселений (по согласованию) 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63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96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и участие в заседаниях комиссии по антитеррору 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согласно плану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hanging="0"/>
              <w:jc w:val="both"/>
              <w:outlineLvl w:val="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Шарангского муниципального района, управление образования и молодежной политики администрации Шарангского муниципального района, муниципальные организации и учреждения Шарангского муниципального района, </w:t>
            </w:r>
            <w:r>
              <w:rPr>
                <w:spacing w:val="-6"/>
                <w:sz w:val="24"/>
                <w:szCs w:val="24"/>
              </w:rPr>
              <w:t>отделение полиции (дислокация п.г.т. Шаранга) МО МВД России «Уренский» (по согласованию),</w:t>
            </w:r>
            <w:r>
              <w:rPr>
                <w:sz w:val="24"/>
                <w:szCs w:val="24"/>
              </w:rPr>
              <w:t xml:space="preserve"> 119-ПЧ 28 ПСО (по согласованию), ГБУЗ НО «Шарангская ЦРБ» (по согласованию), СМИ Шарангского муниципального района, </w:t>
            </w:r>
            <w:r>
              <w:rPr>
                <w:spacing w:val="-8"/>
                <w:sz w:val="24"/>
                <w:szCs w:val="24"/>
              </w:rPr>
              <w:t>отдел культуры администрации Шарангского муниципального района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по задаче 1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5553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2 Сведение к минимуму проявлений терроризма и экстремизма на территории Шарангского муниципального района</w:t>
            </w:r>
          </w:p>
        </w:tc>
      </w:tr>
      <w:tr>
        <w:trPr/>
        <w:tc>
          <w:tcPr>
            <w:tcW w:w="70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круглых столов с участием представителей религиозных конфессий, общественных организаций, объединений молодежи, руководителей муниципальных учреждений образования Шарангского муниципального района по проблемам нравственного оздоровления общества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1 раз в полугодие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181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цикла лекций и бесед в образовательных учреждениях района, направленных на профилактику проявлений терроризма и экстремизма, преступлений против личности, общества, государства в молодежной среде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 1 раз в квартал. 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50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занятий в образовательных учреждениях района, учреждениях спорта и культуры по организации информационно-пропагандистской деятельности, направленной на профилактику проявлений терроризма и экстремизма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 1 раз в полугодие 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согласованию, отдел культуры администрации Шарангского муниципального района, 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3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3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35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проведения в образовательных, спортивных учреждениях района мероприятий, использующих активные формы участия обучающихся (ролевые игры, конкурсы и т.д.) с целью формирования и укрепления потребности жить в условиях межэтнического и межрелигиозного согласия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гг. 1 раз в полугодие 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 отделение полиции (дислокация п.г.т. Шаранга) МО МВД России «Уренский» (по согласованию), 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7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9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40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проведения районных обучающих семинаров "Проблемы профилактики экстремизма в молодежной среде" для педагогических работников, районного совета старшеклассников, волонтеров, лидеров молодежного общественного движения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1 раз в полугодие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2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89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2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по задаче 2 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5553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 Усиление антитеррористической защищенности объектов образования, социальной сферы и мест массового пребывания людей</w:t>
            </w:r>
          </w:p>
        </w:tc>
      </w:tr>
      <w:tr>
        <w:trPr/>
        <w:tc>
          <w:tcPr>
            <w:tcW w:w="70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постоянно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04" w:type="dxa"/>
            <w:gridSpan w:val="2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50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планов мероприятий по предупреждению террористических актов в учреждениях образования, здравоохранения, культуры Шарангского муниципального района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январь-март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здравоохранения (по согласованию), культуры, образовательные учреждения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16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6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97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95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3.3.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обучения руководителей учреждений по программе обеспечения безопасности и антитеррористической защищенности образовательных учреждений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гг. 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Образовательные учреждения,</w:t>
            </w:r>
          </w:p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МАУ «Физкультурно-оздоровительный комплекс в р.п. Шаранга Нижегородской области»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1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4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Установка видеонаблюдения в образовательных учреждениях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5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80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2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25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2550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Установка ограждения в образовательных учреждениях</w:t>
            </w:r>
          </w:p>
        </w:tc>
        <w:tc>
          <w:tcPr>
            <w:tcW w:w="169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</w:t>
            </w:r>
          </w:p>
        </w:tc>
        <w:tc>
          <w:tcPr>
            <w:tcW w:w="2791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Образовательные учреждения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2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2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22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по задаче 3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5553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4 Привлечение граждан, общественных организаций, средств массовой информации для обеспечения максимальной эффективности деятельности по профилактике терроризма и экстремизм</w:t>
            </w:r>
          </w:p>
        </w:tc>
      </w:tr>
      <w:tr>
        <w:trPr>
          <w:trHeight w:val="548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2550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проведения учебных семинаров для муниципальных служащих органов местного самоуправления Шарангского муниципального района по тематике профилактики терроризма и экстремизма на территории Шарангского муниципального района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полугодие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Шарангского муниципального района, 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06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71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845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87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2550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16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Проведение районных мероприятий среди педагогических коллективов школ района в сфере профилактики экстремизма и терроризма в подростковой среде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полугодие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77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16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78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16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896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uto" w:line="216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18" w:hRule="atLeast"/>
        </w:trPr>
        <w:tc>
          <w:tcPr>
            <w:tcW w:w="704" w:type="dxa"/>
            <w:gridSpan w:val="2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2550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 образовательных учреждениях района круглых столов по разъяснению основ</w:t>
              <w:br/>
              <w:t>законодательства в сфере межнациональных отношений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полугодие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19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9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453" w:hRule="atLeast"/>
        </w:trPr>
        <w:tc>
          <w:tcPr>
            <w:tcW w:w="704" w:type="dxa"/>
            <w:gridSpan w:val="2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7740" w:type="dxa"/>
            <w:gridSpan w:val="5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по задаче 4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95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95" w:hRule="atLeast"/>
        </w:trPr>
        <w:tc>
          <w:tcPr>
            <w:tcW w:w="15553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Задача 5 Проведение воспитательной, пропагандистской работы с населением Шарангского муниципального района, направленной на предупреждение террористической и экстремистской деятельности, повышение бдительности населения</w:t>
            </w:r>
          </w:p>
        </w:tc>
      </w:tr>
      <w:tr>
        <w:trPr>
          <w:trHeight w:val="556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 образовательных учреждениях Шарангского муниципального района учебных занятий и тренировок обучающихся и педагогов, по их действиям при возникновении угрозы террористических актов. Обобщение состояния и результатов работы, выработка и реализация дополнительных совместных мероприятий по вопросам обеспечения безопасности образовательных учреждений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1 раз в полгода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Учреждения образования,</w:t>
            </w:r>
          </w:p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согласованию), 119-ПЧ 28 ПСО (по согласованию), ГБУЗ НО «Шарангская ЦРБ» (по согласованию)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23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57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40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390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30" w:hRule="atLeast"/>
        </w:trPr>
        <w:tc>
          <w:tcPr>
            <w:tcW w:w="45" w:type="dxa"/>
            <w:vMerge w:val="restart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32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Опубликование статей в районной газете «Знамя победы» по профилактике терроризма и экстремизма на территории Шарангского муниципального района 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квартал</w:t>
            </w:r>
          </w:p>
        </w:tc>
        <w:tc>
          <w:tcPr>
            <w:tcW w:w="279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согласованию), МП редакция газеты «Знамя победы»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99" w:hRule="atLeast"/>
        </w:trPr>
        <w:tc>
          <w:tcPr>
            <w:tcW w:w="45" w:type="dxa"/>
            <w:vMerge w:val="continue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3" w:hRule="atLeast"/>
        </w:trPr>
        <w:tc>
          <w:tcPr>
            <w:tcW w:w="45" w:type="dxa"/>
            <w:vMerge w:val="continue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82" w:hRule="atLeast"/>
        </w:trPr>
        <w:tc>
          <w:tcPr>
            <w:tcW w:w="45" w:type="dxa"/>
            <w:vMerge w:val="continue"/>
            <w:tcBorders>
              <w:top w:val="single" w:sz="4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top w:val="single" w:sz="4" w:space="0" w:color="000000"/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37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5.3.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регулярного освещения в районной газете "Знамя победы» результатов деятельности </w:t>
              <w:br/>
              <w:t xml:space="preserve">правоохранительных органов в сфере профилактики и борьбы с терроризмом и экстремизмом 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гг. </w:t>
            </w:r>
          </w:p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Отделение полиции (дислокация п.г.т. Шаранга) МО МВД России «Уренский» (по согласованию), МП редакция газеты «Знамя победы»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62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14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645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23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5.4.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месячника безопасности в учреждениях образования района, занятий по</w:t>
              <w:br/>
              <w:t xml:space="preserve">профилактике заведомо ложных сообщений о террористических актах 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1 раз в год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 отделение полиции (дислокация п.г.т. Шаранга) МО МВД России «Уренский» (по согласованию)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07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70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041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72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5.5.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создания полиграфических материалов и видеороликов: по профилактике проявлений экстремизма и терроризма; по пропаганде морально-нравственных, духовных и культурных ценностей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полугодие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района, отдел культуры администрации Шарангского муниципального района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17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23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170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07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5.6.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учебных тренировок с персоналом учреждений здравоохранения и образования Шарангского муниципального района по вопросам предупреждения террористических актов и правилам поведения при их возникновении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гг. 1 раз в полугодие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Отделение полиции (дислокация п.г.т. Шаранга) МО МВД России «Уренский» (по согласованию), ГБУЗ НО «Шарангская ЦРБ» (по согласованию), образовательные учреждения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73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67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365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5.7.</w:t>
            </w:r>
          </w:p>
        </w:tc>
        <w:tc>
          <w:tcPr>
            <w:tcW w:w="3209" w:type="dxa"/>
            <w:gridSpan w:val="2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образовательных учреждений Шарангского муниципального района наглядными пособиями по действиям в чрезвычайных ситуациях</w:t>
            </w:r>
          </w:p>
        </w:tc>
        <w:tc>
          <w:tcPr>
            <w:tcW w:w="1695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 гг. </w:t>
            </w:r>
          </w:p>
        </w:tc>
        <w:tc>
          <w:tcPr>
            <w:tcW w:w="2791" w:type="dxa"/>
            <w:vMerge w:val="restart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426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76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645" w:hRule="atLeast"/>
        </w:trPr>
        <w:tc>
          <w:tcPr>
            <w:tcW w:w="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09" w:type="dxa"/>
            <w:gridSpan w:val="2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95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91" w:type="dxa"/>
            <w:vMerge w:val="continue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7740" w:type="dxa"/>
            <w:gridSpan w:val="5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по задаче 5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80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95" w:hRule="atLeast"/>
        </w:trPr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по программе </w:t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889,1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7740" w:type="dxa"/>
            <w:gridSpan w:val="5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5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19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4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600" w:right="653" w:header="1134" w:top="1648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ind w:left="0" w:firstLine="540"/>
        <w:jc w:val="both"/>
        <w:outlineLvl w:val="3"/>
        <w:rPr>
          <w:rFonts w:ascii="Times New Roman" w:hAnsi="Times New Roman"/>
          <w:sz w:val="24"/>
          <w:szCs w:val="24"/>
        </w:rPr>
      </w:pPr>
      <w:bookmarkStart w:id="0" w:name="Par325"/>
      <w:bookmarkEnd w:id="0"/>
      <w:r>
        <w:rPr>
          <w:sz w:val="24"/>
          <w:szCs w:val="24"/>
        </w:rPr>
        <w:t>2.6. Ресурсное обеспечение программы.</w:t>
      </w:r>
    </w:p>
    <w:p>
      <w:p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Ресурсы, необходимые для реализации мероприятий муниципальной программы, представляются в разрезе мероприятий и в целом по программе в соответствии с представленной ниже табличной формой.</w:t>
      </w:r>
    </w:p>
    <w:p>
      <w:pPr>
        <w:pStyle w:val="Normal"/>
        <w:widowControl w:val="false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9645" w:type="dxa"/>
        <w:jc w:val="left"/>
        <w:tblInd w:w="0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306"/>
        <w:gridCol w:w="1363"/>
        <w:gridCol w:w="1065"/>
        <w:gridCol w:w="1591"/>
        <w:gridCol w:w="1304"/>
        <w:gridCol w:w="1590"/>
        <w:gridCol w:w="1425"/>
      </w:tblGrid>
      <w:tr>
        <w:trPr>
          <w:trHeight w:val="540" w:hRule="atLeast"/>
        </w:trPr>
        <w:tc>
          <w:tcPr>
            <w:tcW w:w="13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</w:t>
            </w:r>
          </w:p>
        </w:tc>
        <w:tc>
          <w:tcPr>
            <w:tcW w:w="13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реали-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зации </w:t>
            </w:r>
          </w:p>
        </w:tc>
        <w:tc>
          <w:tcPr>
            <w:tcW w:w="69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Объем финансирования, тыс. руб. </w:t>
            </w:r>
          </w:p>
        </w:tc>
      </w:tr>
      <w:tr>
        <w:trPr>
          <w:trHeight w:val="540" w:hRule="atLeast"/>
        </w:trPr>
        <w:tc>
          <w:tcPr>
            <w:tcW w:w="1306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Областной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Прочие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</w:t>
            </w:r>
          </w:p>
        </w:tc>
      </w:tr>
      <w:tr>
        <w:trPr/>
        <w:tc>
          <w:tcPr>
            <w:tcW w:w="130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7 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8 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1 </w:t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2 </w:t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1306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</w:t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888,1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888,1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75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35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65" w:hRule="atLeast"/>
        </w:trPr>
        <w:tc>
          <w:tcPr>
            <w:tcW w:w="1306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65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20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95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35" w:hRule="atLeast"/>
        </w:trPr>
        <w:tc>
          <w:tcPr>
            <w:tcW w:w="1306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5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50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50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165" w:hRule="atLeast"/>
        </w:trPr>
        <w:tc>
          <w:tcPr>
            <w:tcW w:w="1306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по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888,1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888,1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326,6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>
          <w:trHeight w:val="360" w:hRule="atLeast"/>
        </w:trPr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282,9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306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6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06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591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0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59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279,6</w:t>
            </w:r>
          </w:p>
        </w:tc>
        <w:tc>
          <w:tcPr>
            <w:tcW w:w="1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>
      <w:pPr>
        <w:pStyle w:val="Normal"/>
        <w:spacing w:lineRule="auto" w:line="360"/>
        <w:jc w:val="right"/>
        <w:rPr>
          <w:rFonts w:ascii="Times New Roman" w:hAnsi="Times New Roman"/>
          <w:sz w:val="24"/>
          <w:szCs w:val="24"/>
        </w:rPr>
      </w:pPr>
      <w:bookmarkStart w:id="1" w:name="Par367"/>
      <w:bookmarkStart w:id="2" w:name="Par385"/>
      <w:bookmarkEnd w:id="1"/>
      <w:bookmarkEnd w:id="2"/>
      <w:r>
        <w:rPr>
          <w:sz w:val="24"/>
          <w:szCs w:val="24"/>
        </w:rPr>
        <w:t>».</w:t>
      </w:r>
    </w:p>
    <w:p>
      <w:pPr>
        <w:pStyle w:val="Normal"/>
        <w:widowControl/>
        <w:suppressAutoHyphens w:val="true"/>
        <w:overflowPunct w:val="true"/>
        <w:bidi w:val="0"/>
        <w:spacing w:lineRule="auto" w:line="360" w:before="0" w:after="0"/>
        <w:ind w:left="0" w:right="0" w:firstLine="737"/>
        <w:jc w:val="both"/>
        <w:rPr>
          <w:sz w:val="28"/>
          <w:szCs w:val="28"/>
        </w:rPr>
      </w:pPr>
      <w:r>
        <w:rPr>
          <w:rFonts w:eastAsia="Calibri" w:cs="Times New Roman"/>
          <w:b w:val="false"/>
          <w:bCs/>
          <w:sz w:val="28"/>
          <w:szCs w:val="28"/>
        </w:rPr>
        <w:t>2. Настоящее постановление вступает в силу со дня принятия.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  <w:sz w:val="24"/>
          <w:szCs w:val="24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alibri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10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0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1" w:customStyle="1">
    <w:name w:val="Заголовок"/>
    <w:basedOn w:val="Normal"/>
    <w:next w:val="Style12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2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3">
    <w:name w:val="List"/>
    <w:basedOn w:val="Style12"/>
    <w:rsid w:val="0055234d"/>
    <w:pPr/>
    <w:rPr>
      <w:rFonts w:cs="Mangal"/>
    </w:rPr>
  </w:style>
  <w:style w:type="paragraph" w:styleId="Style14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6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7">
    <w:name w:val="Верхний и нижний колонтитулы"/>
    <w:basedOn w:val="Normal"/>
    <w:qFormat/>
    <w:pPr/>
    <w:rPr/>
  </w:style>
  <w:style w:type="paragraph" w:styleId="Style18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19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0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2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LibreOffice/6.4.1.2$Windows_x86 LibreOffice_project/4d224e95b98b138af42a64d84056446d09082932</Application>
  <Pages>13</Pages>
  <Words>2251</Words>
  <Characters>11673</Characters>
  <CharactersWithSpaces>13024</CharactersWithSpaces>
  <Paragraphs>1012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2020-03-16T13:39:12Z</cp:lastPrinted>
  <dcterms:modified xsi:type="dcterms:W3CDTF">2020-03-16T13:39:25Z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