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8"/>
          <w:tab w:val="left" w:pos="8789" w:leader="none"/>
        </w:tabs>
        <w:rPr/>
      </w:pPr>
      <w:r>
        <w:rPr>
          <w:sz w:val="28"/>
          <w:szCs w:val="28"/>
        </w:rPr>
        <w:t xml:space="preserve">от </w:t>
      </w:r>
      <w:r>
        <w:rPr>
          <w:sz w:val="28"/>
          <w:szCs w:val="28"/>
        </w:rPr>
        <w:t>10</w:t>
      </w:r>
      <w:r>
        <w:rPr>
          <w:sz w:val="28"/>
          <w:szCs w:val="28"/>
        </w:rPr>
        <w:t>.03.20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102</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6"/>
        <w:widowControl w:val="false"/>
        <w:suppressAutoHyphens w:val="true"/>
        <w:overflowPunct w:val="false"/>
        <w:bidi w:val="0"/>
        <w:spacing w:lineRule="exact" w:line="319" w:before="0" w:after="0"/>
        <w:ind w:left="1134" w:right="1134" w:hanging="0"/>
        <w:jc w:val="center"/>
        <w:rPr/>
      </w:pPr>
      <w:r>
        <w:rPr>
          <w:b/>
          <w:bCs w:val="false"/>
          <w:sz w:val="28"/>
          <w:szCs w:val="28"/>
        </w:rPr>
        <w:t xml:space="preserve">Об утверждении Положения об оплате труда работников муниципальных бюджетных и автономных учреждений </w:t>
      </w:r>
      <w:r>
        <w:rPr>
          <w:b/>
          <w:sz w:val="28"/>
          <w:szCs w:val="28"/>
        </w:rPr>
        <w:t>Шарангского муниципального района по виду экономической деятельности «Деятельность в области спорта» (код 93.1)</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22"/>
        <w:tabs>
          <w:tab w:val="clear" w:pos="708"/>
          <w:tab w:val="left" w:pos="1080" w:leader="none"/>
        </w:tabs>
        <w:spacing w:lineRule="auto" w:line="360"/>
        <w:ind w:left="0" w:right="0" w:firstLine="709"/>
        <w:jc w:val="both"/>
        <w:rPr/>
      </w:pPr>
      <w:r>
        <w:rPr>
          <w:rFonts w:cs="Times New Roman" w:ascii="Times New Roman" w:hAnsi="Times New Roman"/>
          <w:sz w:val="28"/>
          <w:szCs w:val="28"/>
        </w:rPr>
        <w:t xml:space="preserve">В соответствии с Уставом Шарангского муниципального района Нижегородской области, администрация Шарангского муниципального района Нижегородской области </w:t>
      </w:r>
      <w:r>
        <w:rPr>
          <w:rFonts w:cs="Times New Roman" w:ascii="Times New Roman" w:hAnsi="Times New Roman"/>
          <w:b/>
          <w:sz w:val="28"/>
          <w:szCs w:val="28"/>
        </w:rPr>
        <w:t>п о с т а н о в л я е т:</w:t>
      </w:r>
    </w:p>
    <w:p>
      <w:pPr>
        <w:pStyle w:val="6"/>
        <w:spacing w:lineRule="auto" w:line="360"/>
        <w:ind w:left="0" w:right="0" w:firstLine="709"/>
        <w:jc w:val="both"/>
        <w:rPr/>
      </w:pPr>
      <w:r>
        <w:rPr>
          <w:rFonts w:cs="Times New Roman"/>
          <w:b w:val="false"/>
          <w:sz w:val="28"/>
          <w:szCs w:val="28"/>
        </w:rPr>
        <w:t xml:space="preserve">1. </w:t>
      </w:r>
      <w:r>
        <w:rPr>
          <w:b w:val="false"/>
          <w:sz w:val="28"/>
          <w:szCs w:val="28"/>
        </w:rPr>
        <w:t>Утвердить прилагаемое Положение об оплате труда работников муниципальных бюджетных и автономных учреждений Шарангского муниципального района по виду экономической деятельности «Деятельность в области спорта» (код 93.1).</w:t>
      </w:r>
    </w:p>
    <w:p>
      <w:pPr>
        <w:pStyle w:val="ConsPlusTitle"/>
        <w:tabs>
          <w:tab w:val="clear" w:pos="708"/>
          <w:tab w:val="left" w:pos="1080" w:leader="none"/>
        </w:tabs>
        <w:spacing w:lineRule="auto" w:line="360"/>
        <w:ind w:left="0" w:right="0" w:firstLine="709"/>
        <w:jc w:val="both"/>
        <w:rPr/>
      </w:pPr>
      <w:r>
        <w:rPr>
          <w:rFonts w:cs="Times New Roman" w:ascii="Times New Roman" w:hAnsi="Times New Roman"/>
          <w:b w:val="false"/>
          <w:sz w:val="28"/>
          <w:szCs w:val="28"/>
        </w:rPr>
        <w:t xml:space="preserve">2. </w:t>
      </w:r>
      <w:r>
        <w:rPr>
          <w:rFonts w:cs="Times New Roman" w:ascii="Times New Roman" w:hAnsi="Times New Roman"/>
          <w:b w:val="false"/>
          <w:sz w:val="28"/>
          <w:szCs w:val="28"/>
        </w:rPr>
        <w:t>Настоящее постановление вступает в силу со дня его принятия</w:t>
      </w:r>
      <w:r>
        <w:rPr/>
        <w:t xml:space="preserve"> </w:t>
      </w:r>
      <w:r>
        <w:rPr>
          <w:rFonts w:cs="Times New Roman" w:ascii="Times New Roman" w:hAnsi="Times New Roman"/>
          <w:b w:val="false"/>
          <w:sz w:val="28"/>
          <w:szCs w:val="28"/>
        </w:rPr>
        <w:t xml:space="preserve">и распространяется на правоотношения, возникшие с 1 октября 2019 г. </w:t>
      </w:r>
    </w:p>
    <w:p>
      <w:pPr>
        <w:pStyle w:val="ConsPlusTitle"/>
        <w:tabs>
          <w:tab w:val="clear" w:pos="708"/>
          <w:tab w:val="left" w:pos="1080" w:leader="none"/>
        </w:tabs>
        <w:spacing w:lineRule="auto" w:line="360"/>
        <w:ind w:left="0" w:right="0" w:firstLine="709"/>
        <w:jc w:val="both"/>
        <w:rPr/>
      </w:pPr>
      <w:r>
        <w:rPr>
          <w:rFonts w:cs="Times New Roman" w:ascii="Times New Roman" w:hAnsi="Times New Roman"/>
          <w:b w:val="false"/>
          <w:sz w:val="28"/>
          <w:szCs w:val="28"/>
        </w:rPr>
        <w:t xml:space="preserve">3. </w:t>
      </w:r>
      <w:r>
        <w:rPr>
          <w:rFonts w:cs="Times New Roman" w:ascii="Times New Roman" w:hAnsi="Times New Roman"/>
          <w:b w:val="false"/>
          <w:bCs w:val="false"/>
          <w:sz w:val="28"/>
          <w:szCs w:val="28"/>
        </w:rPr>
        <w:t>Контроль за исполнением настоящего постановления возложить на заместителя главы администрации Шарангского муниципального района Ожиганова Д.О.</w:t>
      </w:r>
    </w:p>
    <w:p>
      <w:pPr>
        <w:pStyle w:val="ConsPlusNormal"/>
        <w:widowControl/>
        <w:tabs>
          <w:tab w:val="clear" w:pos="708"/>
          <w:tab w:val="left" w:pos="1080" w:leader="none"/>
          <w:tab w:val="left" w:pos="1276" w:leader="none"/>
        </w:tabs>
        <w:spacing w:lineRule="auto" w:line="360"/>
        <w:ind w:left="0" w:right="0" w:firstLine="709"/>
        <w:jc w:val="both"/>
        <w:rPr/>
      </w:pPr>
      <w:r>
        <w:rPr>
          <w:rFonts w:cs="Times New Roman" w:ascii="Times New Roman" w:hAnsi="Times New Roman"/>
          <w:b w:val="false"/>
          <w:bCs w:val="false"/>
          <w:sz w:val="28"/>
          <w:szCs w:val="28"/>
        </w:rPr>
        <w:t xml:space="preserve">4. </w:t>
      </w:r>
      <w:r>
        <w:rPr>
          <w:rFonts w:cs="Times New Roman" w:ascii="Times New Roman" w:hAnsi="Times New Roman"/>
          <w:sz w:val="28"/>
          <w:szCs w:val="28"/>
        </w:rPr>
        <w:t>Со дня вступления в силу настоящего постановления считать утратившим силу постановления администрации Шарангского муниципального района:</w:t>
      </w:r>
    </w:p>
    <w:p>
      <w:pPr>
        <w:pStyle w:val="ConsPlusNormal"/>
        <w:widowControl/>
        <w:tabs>
          <w:tab w:val="clear" w:pos="708"/>
          <w:tab w:val="left" w:pos="0" w:leader="none"/>
        </w:tabs>
        <w:spacing w:lineRule="auto" w:line="360"/>
        <w:ind w:left="0" w:right="0" w:firstLine="709"/>
        <w:jc w:val="both"/>
        <w:rPr/>
      </w:pPr>
      <w:r>
        <w:rPr>
          <w:rFonts w:cs="Times New Roman" w:ascii="Times New Roman" w:hAnsi="Times New Roman"/>
          <w:sz w:val="28"/>
          <w:szCs w:val="28"/>
        </w:rPr>
        <w:t>- от 19 сентября 2013 года № 195 «Об утверждении Положения об оплате труда работников муниципальных бюджетных учреждений физической культуры и спорта Шарангского муниципального района Нижегородской области»;</w:t>
      </w:r>
    </w:p>
    <w:p>
      <w:pPr>
        <w:pStyle w:val="ConsPlusNormal"/>
        <w:widowControl/>
        <w:tabs>
          <w:tab w:val="clear" w:pos="708"/>
          <w:tab w:val="left" w:pos="1080" w:leader="none"/>
          <w:tab w:val="left" w:pos="1276" w:leader="none"/>
        </w:tabs>
        <w:spacing w:lineRule="auto" w:line="360"/>
        <w:ind w:left="0" w:right="0" w:firstLine="709"/>
        <w:jc w:val="both"/>
        <w:rPr/>
      </w:pPr>
      <w:r>
        <w:rPr>
          <w:sz w:val="28"/>
          <w:szCs w:val="28"/>
        </w:rPr>
        <w:t xml:space="preserve">- </w:t>
      </w:r>
      <w:r>
        <w:rPr>
          <w:rFonts w:cs="Times New Roman" w:ascii="Times New Roman" w:hAnsi="Times New Roman"/>
          <w:bCs/>
          <w:sz w:val="28"/>
          <w:szCs w:val="28"/>
        </w:rPr>
        <w:t>от 28 сентября 2015 года № 611 «О внесении изменений в Положение об оплате труда работников муниципальных бюджетных учреждений физической культуры и спорта Шарангского района, утвержденное постановлением Администрации Шарангского района Нижегородской области от 19 сентября 2013 года №195»;</w:t>
      </w:r>
    </w:p>
    <w:p>
      <w:pPr>
        <w:pStyle w:val="ConsPlusNormal"/>
        <w:widowControl/>
        <w:tabs>
          <w:tab w:val="clear" w:pos="708"/>
          <w:tab w:val="left" w:pos="1080" w:leader="none"/>
          <w:tab w:val="left" w:pos="1276" w:leader="none"/>
        </w:tabs>
        <w:spacing w:lineRule="auto" w:line="360"/>
        <w:ind w:left="0" w:right="0" w:firstLine="709"/>
        <w:jc w:val="both"/>
        <w:rPr/>
      </w:pPr>
      <w:r>
        <w:rPr>
          <w:rFonts w:cs="Times New Roman" w:ascii="Times New Roman" w:hAnsi="Times New Roman"/>
          <w:sz w:val="28"/>
          <w:szCs w:val="28"/>
        </w:rPr>
        <w:t>- от 2 ноября 2015 года № 706 «О внесении изменений в Положение об оплате труда работников муниципальных бюджетных учреждений физической культуры и спорта Шарангского района, утвержденное постановлением Администрации Шарангского района Нижегородской области от 19 сентября 2013 года №195»;</w:t>
      </w:r>
    </w:p>
    <w:p>
      <w:pPr>
        <w:pStyle w:val="ConsPlusNormal"/>
        <w:widowControl/>
        <w:tabs>
          <w:tab w:val="clear" w:pos="708"/>
          <w:tab w:val="left" w:pos="1080" w:leader="none"/>
          <w:tab w:val="left" w:pos="1276" w:leader="none"/>
        </w:tabs>
        <w:spacing w:lineRule="auto" w:line="360"/>
        <w:ind w:left="0" w:right="0" w:firstLine="709"/>
        <w:jc w:val="both"/>
        <w:rPr/>
      </w:pPr>
      <w:r>
        <w:rPr>
          <w:rFonts w:cs="Times New Roman" w:ascii="Times New Roman" w:hAnsi="Times New Roman"/>
          <w:b w:val="false"/>
          <w:sz w:val="28"/>
          <w:szCs w:val="28"/>
        </w:rPr>
        <w:t>- от 29 марта 2018 года № 162 «О внесении изменений в Положение об оплате труда работников муниципальных бюджетных учреждений физической культуры и спорта Шарангского района, утвержденное постановлением Администрации Шарангского района Нижегородской области от 19 сентября 2013 года №195».</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8"/>
          <w:tab w:val="left" w:pos="8220" w:leader="none"/>
        </w:tabs>
        <w:jc w:val="both"/>
        <w:rPr/>
      </w:pPr>
      <w:r>
        <w:rPr>
          <w:sz w:val="28"/>
          <w:szCs w:val="28"/>
        </w:rPr>
        <w:t>Глава администрации</w:t>
        <w:tab/>
        <w:t>О.Л.Зыков</w:t>
      </w:r>
      <w:r>
        <w:br w:type="page"/>
      </w:r>
    </w:p>
    <w:p>
      <w:pPr>
        <w:pStyle w:val="Normal"/>
        <w:widowControl w:val="false"/>
        <w:numPr>
          <w:ilvl w:val="0"/>
          <w:numId w:val="0"/>
        </w:numPr>
        <w:suppressAutoHyphens w:val="true"/>
        <w:overflowPunct w:val="false"/>
        <w:autoSpaceDE w:val="false"/>
        <w:bidi w:val="0"/>
        <w:spacing w:before="0" w:after="0"/>
        <w:ind w:left="4535" w:right="0" w:hanging="0"/>
        <w:jc w:val="center"/>
        <w:outlineLvl w:val="0"/>
        <w:rPr>
          <w:rFonts w:ascii="Times New Roman" w:hAnsi="Times New Roman"/>
          <w:sz w:val="24"/>
          <w:szCs w:val="24"/>
        </w:rPr>
      </w:pPr>
      <w:r>
        <w:rPr>
          <w:rFonts w:ascii="Times New Roman" w:hAnsi="Times New Roman"/>
          <w:sz w:val="24"/>
          <w:szCs w:val="24"/>
        </w:rPr>
        <w:t>Утверждено</w:t>
      </w:r>
    </w:p>
    <w:p>
      <w:pPr>
        <w:pStyle w:val="Normal"/>
        <w:widowControl w:val="false"/>
        <w:numPr>
          <w:ilvl w:val="0"/>
          <w:numId w:val="0"/>
        </w:numPr>
        <w:suppressAutoHyphens w:val="true"/>
        <w:overflowPunct w:val="false"/>
        <w:autoSpaceDE w:val="false"/>
        <w:bidi w:val="0"/>
        <w:spacing w:before="0" w:after="0"/>
        <w:ind w:left="4535" w:right="0" w:hanging="0"/>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постановлением администрации</w:t>
      </w:r>
    </w:p>
    <w:p>
      <w:pPr>
        <w:pStyle w:val="Normal"/>
        <w:widowControl w:val="false"/>
        <w:numPr>
          <w:ilvl w:val="0"/>
          <w:numId w:val="0"/>
        </w:numPr>
        <w:suppressAutoHyphens w:val="true"/>
        <w:overflowPunct w:val="false"/>
        <w:autoSpaceDE w:val="false"/>
        <w:bidi w:val="0"/>
        <w:spacing w:before="0" w:after="0"/>
        <w:ind w:left="4535" w:right="0" w:hanging="0"/>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Шарангского муниципального района</w:t>
      </w:r>
    </w:p>
    <w:p>
      <w:pPr>
        <w:pStyle w:val="Normal"/>
        <w:widowControl w:val="false"/>
        <w:numPr>
          <w:ilvl w:val="0"/>
          <w:numId w:val="0"/>
        </w:numPr>
        <w:suppressAutoHyphens w:val="true"/>
        <w:overflowPunct w:val="false"/>
        <w:autoSpaceDE w:val="false"/>
        <w:bidi w:val="0"/>
        <w:spacing w:before="0" w:after="0"/>
        <w:ind w:left="4535" w:right="0" w:hanging="0"/>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 xml:space="preserve">от </w:t>
      </w:r>
      <w:r>
        <w:rPr>
          <w:rFonts w:eastAsia="Times New Roman" w:cs="Times New Roman" w:ascii="Times New Roman" w:hAnsi="Times New Roman"/>
          <w:color w:val="00000A"/>
          <w:kern w:val="0"/>
          <w:sz w:val="24"/>
          <w:szCs w:val="24"/>
          <w:lang w:val="ru-RU" w:eastAsia="zh-CN" w:bidi="ar-SA"/>
        </w:rPr>
        <w:t>10.03.2020 г. № 102</w:t>
      </w:r>
    </w:p>
    <w:p>
      <w:pPr>
        <w:pStyle w:val="Normal"/>
        <w:widowControl w:val="false"/>
        <w:numPr>
          <w:ilvl w:val="0"/>
          <w:numId w:val="0"/>
        </w:numPr>
        <w:suppressAutoHyphens w:val="true"/>
        <w:overflowPunct w:val="false"/>
        <w:autoSpaceDE w:val="false"/>
        <w:bidi w:val="0"/>
        <w:spacing w:before="0" w:after="0"/>
        <w:ind w:left="4535" w:right="0" w:hanging="0"/>
        <w:jc w:val="center"/>
        <w:rPr>
          <w:rFonts w:eastAsia="Times New Roman" w:cs="Times New Roman"/>
          <w:color w:val="00000A"/>
          <w:kern w:val="0"/>
          <w:lang w:val="ru-RU" w:eastAsia="zh-CN" w:bidi="ar-SA"/>
        </w:rPr>
      </w:pPr>
      <w:r>
        <w:rPr>
          <w:rFonts w:ascii="Times New Roman" w:hAnsi="Times New Roman"/>
          <w:sz w:val="24"/>
          <w:szCs w:val="24"/>
        </w:rPr>
      </w:r>
    </w:p>
    <w:p>
      <w:pPr>
        <w:pStyle w:val="Normal"/>
        <w:tabs>
          <w:tab w:val="clear" w:pos="708"/>
          <w:tab w:val="left" w:pos="8222" w:leader="none"/>
        </w:tabs>
        <w:jc w:val="right"/>
        <w:rPr>
          <w:rFonts w:ascii="Times New Roman" w:hAnsi="Times New Roman"/>
          <w:bCs/>
          <w:sz w:val="24"/>
          <w:szCs w:val="24"/>
        </w:rPr>
      </w:pPr>
      <w:r>
        <w:rPr>
          <w:rFonts w:ascii="Times New Roman" w:hAnsi="Times New Roman"/>
          <w:bCs/>
          <w:sz w:val="24"/>
          <w:szCs w:val="24"/>
        </w:rPr>
      </w:r>
    </w:p>
    <w:p>
      <w:pPr>
        <w:pStyle w:val="Normal"/>
        <w:widowControl w:val="false"/>
        <w:suppressAutoHyphens w:val="true"/>
        <w:overflowPunct w:val="false"/>
        <w:autoSpaceDE w:val="false"/>
        <w:bidi w:val="0"/>
        <w:spacing w:before="0" w:after="0"/>
        <w:ind w:left="1134" w:right="1134" w:hanging="0"/>
        <w:jc w:val="center"/>
        <w:rPr>
          <w:rFonts w:ascii="Times New Roman" w:hAnsi="Times New Roman"/>
          <w:sz w:val="24"/>
          <w:szCs w:val="24"/>
        </w:rPr>
      </w:pPr>
      <w:r>
        <w:rPr>
          <w:rFonts w:ascii="Times New Roman" w:hAnsi="Times New Roman"/>
          <w:sz w:val="24"/>
          <w:szCs w:val="24"/>
        </w:rPr>
        <w:t xml:space="preserve">Положение </w:t>
      </w:r>
    </w:p>
    <w:p>
      <w:pPr>
        <w:pStyle w:val="Normal"/>
        <w:widowControl w:val="false"/>
        <w:suppressAutoHyphens w:val="true"/>
        <w:overflowPunct w:val="false"/>
        <w:autoSpaceDE w:val="false"/>
        <w:bidi w:val="0"/>
        <w:spacing w:before="0" w:after="0"/>
        <w:ind w:left="850" w:right="850" w:hanging="0"/>
        <w:jc w:val="center"/>
        <w:rPr>
          <w:rFonts w:ascii="Times New Roman" w:hAnsi="Times New Roman"/>
          <w:sz w:val="24"/>
          <w:szCs w:val="24"/>
        </w:rPr>
      </w:pPr>
      <w:r>
        <w:rPr>
          <w:rFonts w:ascii="Times New Roman" w:hAnsi="Times New Roman"/>
          <w:sz w:val="24"/>
          <w:szCs w:val="24"/>
        </w:rPr>
        <w:t>об оплате труда работников муниципальных бюджетных и автономных учреждений Шарангского муниципального района по виду экономической деятельности «Деятельность в области спорта» (код 93.1)</w:t>
      </w:r>
    </w:p>
    <w:p>
      <w:pPr>
        <w:pStyle w:val="Normal"/>
        <w:widowControl w:val="false"/>
        <w:autoSpaceDE w:val="false"/>
        <w:jc w:val="center"/>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spacing w:lineRule="auto" w:line="240" w:before="0" w:after="0"/>
        <w:ind w:left="0" w:right="0" w:firstLine="567"/>
        <w:jc w:val="center"/>
        <w:outlineLvl w:val="1"/>
        <w:rPr>
          <w:rFonts w:ascii="Times New Roman" w:hAnsi="Times New Roman"/>
          <w:sz w:val="24"/>
          <w:szCs w:val="24"/>
        </w:rPr>
      </w:pPr>
      <w:r>
        <w:rPr>
          <w:rFonts w:ascii="Times New Roman" w:hAnsi="Times New Roman"/>
          <w:sz w:val="24"/>
          <w:szCs w:val="24"/>
        </w:rPr>
        <w:t>1. ОБЩИЕ ПОЛОЖЕНИЯ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 Настоящее Положение об оплате труда работников муниципальных бюджетных и автономных учреждений Шарангского муниципального района по виду экономической деятельности ’’Деятельность в области спорта” (код 93.1)</w:t>
      </w:r>
      <w:r>
        <w:rPr>
          <w:rFonts w:ascii="Times New Roman" w:hAnsi="Times New Roman"/>
          <w:b/>
          <w:sz w:val="24"/>
          <w:szCs w:val="24"/>
        </w:rPr>
        <w:t xml:space="preserve"> </w:t>
      </w:r>
      <w:r>
        <w:rPr>
          <w:rFonts w:ascii="Times New Roman" w:hAnsi="Times New Roman"/>
          <w:sz w:val="24"/>
          <w:szCs w:val="24"/>
        </w:rPr>
        <w:t>(далее - Положение) разработано в соответствии с Трудовым кодексом Российской Федерации, постановлением Правительства Нижегородской области от 23 июля 2008 года № 296 «Об отраслевой системе оплаты труда работников государственных бюджетных, автономных и казенных учреждений Нижегородской области» и иными нормативными актами Российской Федерации, Нижегородской области и муниципальными правовыми актами Шарангского муниципального района.</w:t>
      </w:r>
    </w:p>
    <w:p>
      <w:pPr>
        <w:pStyle w:val="Normal"/>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1.2. Действие настоящего Положения распространяется на работников муниципальных бюджетных и автономных учреждений, финансируемых по разделам и подразделам бюджетной классификации 1102, 0703 (далее - учреждение). </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1.3. Отраслевая система оплаты труда работников учреждений устанавливается в целях определения обоснованных соотношений в уровнях оплаты труда различных категорий работников, разработки способов учета в организации труда качественных показателей работы, а также повышения: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эффективности работы учреждений;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уровня заработной платы работников учреждений;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мотивации работников учреждений к достижению качественных результатов труда;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кадровой обеспеченности учреждений, в том числе путем создания условий для привлечения в отрасль молодых и высококвалифицированных специалистов.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1.4. Отраслевая система оплаты труда работников учреждений устанавливается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Нижегородской области, Шарангского района и настоящим Положением.</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1.5. Отраслевая система оплаты труда работников учреждений устанавливается с учетом:</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 единого тарифно-квалификационного справочника работ и профессий рабочих или профессиональных стандартов;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б) единого квалификационного справочника должностей руководителей, специалистов и служащих или профессиональных стандартов;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 обеспечения государственных гарантий по оплате труда;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г) перечня видов выплат компенсационного характера в муниципальных бюджетных учреждениях Шарангского района, утвержденного распоряжением администрации Шарангского района от 17.10.2008 года №381;</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д) перечня видов выплат стимулирующего характера в муниципальных бюджетных учреждениях Шарангского района от 17.10.2008 года №382; </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е) минимальных размеров окладов (минимальных размеров должностных окладов) по профессиональным квалификационным группам (квалификационным уровням профессиональных квалификационных групп) общеотраслевых должностей руководителей, специалистов и служащих, минимальных размеров ставок заработной платы по профессиональным квалификационным группам (квалификационным уровням профессиональных квалификационных групп) общеотраслевых профессий рабочих государственных учреждений Нижегородской области; </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ж) рекомендаций Нижегородской региональной трехсторонней комиссии по регулированию социально-трудовых отношений;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з) мнения соответствующего выборного органа первичной профсоюзной организации или представительного органа работников;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и) профессиональных квалификационных групп, утверждаемых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1.6. Заработная плата работников учреждений определяется исходя из:</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минимальных окладов, минимальных ставок заработной платы;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повышающих коэффициентов в зависимости от занимаемой должности, квалификации, специфики работы и персонального повышающего коэффициента;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нормативов оплаты труда за одного занимающегося на этапах спортивной подготовки исходя из установленного размера ставки;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выплат компенсационного характера (начисляются от должностного оклада, ставки заработной платы);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выплат стимулирующего характера (начисляются от минимального оклада, минимальной ставки заработной платы).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1.7. Заработная плата работников муниципальных бюджетных и автономных учреждений физкультурно-спортивной направленности формируется по следующей формуле:</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ОТ = ДО + СВ + КВ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ДО = МО x SUM К, где</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ОТ - оплата труда,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ДО - должностной оклад,</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СВ - выплаты стимулирующего характера,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КВ - выплаты компенсационного характера,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МО - минимальный оклад,</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SUM К - сумма коэффициентов за занимаемую должность, за квалификацию, за специфику работы и персонального повышающего коэффициента.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Заработная плата тренеров-преподавателей, тренеров муниципальных бюджетных и автономных учреждений физической культуры и спорта формируется по следующей формуле:</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ОТ = С x Н + СВ + КВ</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С = МС x SUMК, где</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С - ставка заработной платы,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МС - минимальная ставка заработной платы по занимаемой должности,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Н - норматив за количество занимающихся.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1.8. Выплаты компенсационного характера производятся работнику по результатам специальной оценки условий труда и отражаются в трудовом договоре работника.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1.9. Выплаты стимулирующего характера направлены на стимулирование работника к качественному результату труда, а также поощрение за выполненную работу.</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Выплаты стимулирующего характера устанавливаются работнику с учетом критериев, позволяющих оценить результативность и качество его работы.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1.10. Основной персонал учреждения – работники учреждения, непосредственно оказывающие услуги (выполняющие работы), направленные на достижение определенных уставом учреждения целей деятельности этого учреждения, а также их непосредственные руководители (персонал, непосредственно участвующий в процессе оказания платной услуги).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Вспомогательный персонал учреждения – работники учреждений, создающие условия для оказания услуг (выполнения работ), направленных на достижение определенных уставом муниципального учреждения целей деятельности этого учреждения, включая обслуживание зданий и оборудования.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Административно-управленческий персонал учреждения – работники учреждения, занятые управлением (организацией) оказания услуг (выполнения работ), а также работники учреждения, выполняющие административные функции, необходимые для обеспечения деятельности учреждения (персонал, не участвующий непосредственно в процессе оказания платной услуги).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1.11. Администрация Шарангского муниципального района устанавливает предельную долю оплаты труда работников административно-управленческого и вспомогательного персонала в фонде оплаты труда учреждений (не более 40 процентов), в отношении которых администрация Шарангского муниципального района осуществляет функции учредителя, а также перечень должностей, относимых к административно-управленческому и вспомогательному персоналу этих учреждений.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1.12. Расчетный среднемесячный уровень заработной платы работников учреждений, осуществляющих исполнение муниципальных функций, наделенных в случаях, предусмотренных действующим законодательством, полномочиями по осуществлению муниципальных функций, возложенных на органы местного самоуправления Шарангского муниципального района, осуществляющие функции и полномочия учредителей подведомственных учреждений, а также обеспечивающих деятельность указанных органов местного самоуправления Шарангского муниципального района (административно-хозяйственное, информационно</w:t>
        <w:softHyphen/>
        <w:t>-техническое и кадровое обеспечение, делопроизводство, бухгалтерский учет и отчетность) не может превышать расчетный среднемесячный уровень оплаты труда муниципальных служащих Шарангского муниципального района и работников, замещающих должности, не являющиеся должностями муниципальной службы, указанных органов местного самоуправления Шарангского муниципального района, осуществляющих функции и полномочия учредителей подведомственных учреждений.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1.13 Расчетный среднемесячный уровень оплаты труда муниципальных служащих Шарангского муниципального района и работников, занимающих должности, не являющиеся должностями муниципальной службы Шарангского муниципального района, органа местного самоуправления Шарангского муниципального района, осуществляющего функции и полномочия учредителя учреждения, определяется путем деления установленного объема бюджетных ассигнований на оплату труда муниципальных служащих Шарангского муниципального района и работников, занимающих должности, не являющиеся должностями муниципальной службы Шарангского муниципального района, учредителя на установленную численность муниципальных служащих Шарангского муниципального района и работников, занимающих должности, не являющиеся должностями муниципальной службы Шарангского муниципального района, учредителя и деления полученного результата на 12 (количество месяцев в году) и доводится учредителем до руководителя учреждения.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1.14 Расчетный среднемесячный уровень заработной платы работников учреждения, указанного в пункте 1.12 настоящего Положения, определяется путем деления объема бюджетных ассигнований на оплату труда работников учреждения на численность работников учреждения в соответствии с утвержденным штатным расписанием и деления полученного результата на 12 (количество месяцев в году).</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1.15 Сопоставление расчетного среднемесячного уровня заработной платы работников учреждения осуществляется с расчетным среднемесячным уровнем оплаты труда муниципальной службы Шарангского муниципального района и работников, занимающих должности, не являющиеся должностями муниципальной службы Шарангского муниципального района, органа местного самоуправления Шарангского муниципального района, осуществляющего функции и полномочия учредителя учреждения.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1.16. Штатное расписание учреждения в соответствии с уставом учреждения утверждается руководителем данного учреждения по согласованию с администрацией Шарангского муниципального района, осуществляющей функции и полномочия учредителя учреждения и являющимся главным распорядителем средств районного бюджета (далее – учредитель), и включает в себя все должности работников данного учреждения.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1.17. Штатная численность работников учреждения устанавливается руководителем учреждения исходя из функций, задач, объемов работ и нормирования труда, определяемых работодателем с учетом мнения выборного органа первичной профсоюзной организации или установленных коллективным договором на основе типовых норм труда для однородных работ (межотраслевых, отраслевых и иных норм труда, включая нормы времени, нормы выработки, нормативы численности, типовые (рекомендуемые) штатные нормативы, нормы обслуживания и другие типовые формы, утвержденные в порядке, установленном законодательством Российской Федерации).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1.18. В случае оптимизации структуры и численности работников учреждений экономия фонда оплаты труда должна быть направлена на повышение заработной платы работников, отраженных в Указах Президента Российской Федерации от 7 мая 2012г. №597 «О мероприятиях по реализации государственной социальной политики», от 1 июня 2012г. №761 «О национальной стратегии действий в интересах детей на 2012-2017 годы», от 28 декабря 2012г. №1688 «О некоторых мерах по реализации государственной политики в сфере защиты детей-сирот и детей, оставшихся без попечения родителей».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spacing w:lineRule="auto" w:line="240" w:before="0" w:after="0"/>
        <w:ind w:left="0" w:right="0" w:firstLine="567"/>
        <w:jc w:val="center"/>
        <w:outlineLvl w:val="1"/>
        <w:rPr>
          <w:rFonts w:ascii="Times New Roman" w:hAnsi="Times New Roman"/>
          <w:sz w:val="24"/>
          <w:szCs w:val="24"/>
        </w:rPr>
      </w:pPr>
      <w:r>
        <w:rPr>
          <w:rFonts w:ascii="Times New Roman" w:hAnsi="Times New Roman"/>
          <w:sz w:val="24"/>
          <w:szCs w:val="24"/>
        </w:rPr>
        <w:t>2. ПОРЯДОК И УСЛОВИЯ ОПЛАТЫ ТРУДА</w:t>
      </w:r>
    </w:p>
    <w:p>
      <w:pPr>
        <w:pStyle w:val="Normal"/>
        <w:widowControl w:val="false"/>
        <w:autoSpaceDE w:val="false"/>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31"/>
        <w:widowControl w:val="false"/>
        <w:tabs>
          <w:tab w:val="clear" w:pos="708"/>
          <w:tab w:val="left" w:pos="1399" w:leader="none"/>
        </w:tabs>
        <w:suppressAutoHyphens w:val="true"/>
        <w:overflowPunct w:val="false"/>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 Размеры окладов (должностных окладов), ставок заработной платы работников различных профессиональных квалификационных групп (далее - ПКГ) устанавливаются руководителем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pPr>
        <w:pStyle w:val="31"/>
        <w:widowControl w:val="false"/>
        <w:suppressAutoHyphens w:val="true"/>
        <w:overflowPunct w:val="false"/>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Минимальные размеры окладов (ставок) работников различных профессиональных квалификационных групп (далее -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pPr>
        <w:pStyle w:val="Normal"/>
        <w:widowControl w:val="false"/>
        <w:suppressAutoHyphens w:val="true"/>
        <w:overflowPunct w:val="false"/>
        <w:autoSpaceDE w:val="false"/>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2.1.1. ПКГ должностей работников физической культуры и спорта:</w:t>
      </w:r>
    </w:p>
    <w:p>
      <w:pPr>
        <w:pStyle w:val="Normal"/>
        <w:widowControl w:val="false"/>
        <w:autoSpaceDE w:val="false"/>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tbl>
      <w:tblPr>
        <w:tblW w:w="9645" w:type="dxa"/>
        <w:jc w:val="left"/>
        <w:tblInd w:w="0" w:type="dxa"/>
        <w:tblCellMar>
          <w:top w:w="55" w:type="dxa"/>
          <w:left w:w="55" w:type="dxa"/>
          <w:bottom w:w="55" w:type="dxa"/>
          <w:right w:w="55" w:type="dxa"/>
        </w:tblCellMar>
      </w:tblPr>
      <w:tblGrid>
        <w:gridCol w:w="4425"/>
        <w:gridCol w:w="2430"/>
        <w:gridCol w:w="2790"/>
      </w:tblGrid>
      <w:tr>
        <w:trPr/>
        <w:tc>
          <w:tcPr>
            <w:tcW w:w="4425"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Квалификационные уровни по ПКГ</w:t>
            </w:r>
          </w:p>
        </w:tc>
        <w:tc>
          <w:tcPr>
            <w:tcW w:w="2430"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w:t>
            </w:r>
          </w:p>
        </w:tc>
        <w:tc>
          <w:tcPr>
            <w:tcW w:w="2790" w:type="dxa"/>
            <w:tcBorders>
              <w:top w:val="single" w:sz="4" w:space="0" w:color="000000"/>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 государственных бюджетных образовательных учреждений дополнительного образования детей</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1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3574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4026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 (дежурный по спортивному залу; сопровождающий спортсмена-инвалида первой группы инвалидности)</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 (спортивный судья; спортсмен, спортсмен-ведущий)</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2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4625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5211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 (инструктор по спорту; инструктор по адаптивной физической культуре; спортсмен-инструктор; тренер-наездник лошадей; техник по эксплуатации и ремонту спортивной техники)</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 (администратор тренировочного процесса; инструктор-методист по адаптивной физической культуре; инструктор-методист физкультурно-спортивных организаций; тренер; тренер-преподаватель по адаптивной физической культуре; хореограф)</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уровень (начальник водной станции; начальник клуба (спортивного, спортивно-технического, стрелково-спортивного); начальник мастерской по ремонту спортивной техники и снаряжения; специалист по подготовке спортивного инвентаря; старшие: инструктор-методист по адаптивной физической культуре, инструктор-методист физкультурно-</w:t>
              <w:softHyphen/>
              <w:t>спортивных организаций, тренер-преподаватель по адаптивной физической культуре)</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1,21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1,21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3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5972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6727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 начальник отдела (по виду или группе видов спорта)</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4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7702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8677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начальник управления (по виду или группе видов спорта)</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r>
    </w:tbl>
    <w:p>
      <w:pPr>
        <w:pStyle w:val="Normal"/>
        <w:widowControl w:val="false"/>
        <w:suppressAutoHyphens w:val="true"/>
        <w:overflowPunct w:val="false"/>
        <w:autoSpaceDE w:val="false"/>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Normal"/>
        <w:widowControl w:val="false"/>
        <w:suppressAutoHyphens w:val="true"/>
        <w:overflowPunct w:val="false"/>
        <w:autoSpaceDE w:val="false"/>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t>2.1.2. ПКГ "Общеотраслевые должности служащих":</w:t>
      </w:r>
    </w:p>
    <w:p>
      <w:pPr>
        <w:pStyle w:val="Normal"/>
        <w:widowControl w:val="false"/>
        <w:suppressAutoHyphens w:val="true"/>
        <w:overflowPunct w:val="false"/>
        <w:autoSpaceDE w:val="false"/>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tbl>
      <w:tblPr>
        <w:tblW w:w="9645" w:type="dxa"/>
        <w:jc w:val="left"/>
        <w:tblInd w:w="0" w:type="dxa"/>
        <w:tblCellMar>
          <w:top w:w="55" w:type="dxa"/>
          <w:left w:w="55" w:type="dxa"/>
          <w:bottom w:w="55" w:type="dxa"/>
          <w:right w:w="55" w:type="dxa"/>
        </w:tblCellMar>
      </w:tblPr>
      <w:tblGrid>
        <w:gridCol w:w="4425"/>
        <w:gridCol w:w="2430"/>
        <w:gridCol w:w="2790"/>
      </w:tblGrid>
      <w:tr>
        <w:trPr/>
        <w:tc>
          <w:tcPr>
            <w:tcW w:w="4425"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Квалификационные уровни по ПКГ</w:t>
            </w:r>
          </w:p>
        </w:tc>
        <w:tc>
          <w:tcPr>
            <w:tcW w:w="2430"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w:t>
            </w:r>
          </w:p>
        </w:tc>
        <w:tc>
          <w:tcPr>
            <w:tcW w:w="2790" w:type="dxa"/>
            <w:tcBorders>
              <w:top w:val="single" w:sz="4" w:space="0" w:color="000000"/>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 государственных бюджетных образовательных учреждений дополнительного образования детей</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1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3574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4026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1, 0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1, 1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2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3744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4220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1, 0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1, 0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1,81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1,81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4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2,07</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2,07</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5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2,15</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2,15</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3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4834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5446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1,15</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1,15</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1,39</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1,39</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4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1,66</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1,66</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5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2,08</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2,08</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4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7702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rPr/>
            </w:pPr>
            <w:r>
              <w:rPr>
                <w:rStyle w:val="11"/>
                <w:rFonts w:ascii="Times New Roman" w:hAnsi="Times New Roman"/>
                <w:sz w:val="24"/>
                <w:szCs w:val="24"/>
              </w:rPr>
              <w:t>8635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1,26</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1,26</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1, 5</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1, 5</w:t>
            </w:r>
          </w:p>
        </w:tc>
      </w:tr>
    </w:tbl>
    <w:p>
      <w:pPr>
        <w:pStyle w:val="Normal"/>
        <w:widowControl w:val="false"/>
        <w:suppressAutoHyphens w:val="true"/>
        <w:overflowPunct w:val="false"/>
        <w:autoSpaceDE w:val="false"/>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Normal"/>
        <w:widowControl w:val="false"/>
        <w:suppressAutoHyphens w:val="true"/>
        <w:overflowPunct w:val="false"/>
        <w:autoSpaceDE w:val="false"/>
        <w:bidi w:val="0"/>
        <w:spacing w:lineRule="auto" w:line="240" w:before="0" w:after="0"/>
        <w:ind w:left="0" w:right="0" w:hanging="0"/>
        <w:jc w:val="both"/>
        <w:rPr/>
      </w:pPr>
      <w:r>
        <w:rPr>
          <w:rFonts w:ascii="Times New Roman" w:hAnsi="Times New Roman"/>
          <w:sz w:val="24"/>
          <w:szCs w:val="24"/>
        </w:rPr>
        <w:t xml:space="preserve">2.1.3. </w:t>
      </w:r>
      <w:r>
        <w:rPr>
          <w:rStyle w:val="21"/>
          <w:rFonts w:ascii="Times New Roman" w:hAnsi="Times New Roman"/>
          <w:sz w:val="24"/>
          <w:szCs w:val="24"/>
          <w:u w:val="none"/>
        </w:rPr>
        <w:t>ПКГ "Общеотраслевые профессии рабочих":</w:t>
      </w:r>
    </w:p>
    <w:p>
      <w:pPr>
        <w:pStyle w:val="Normal"/>
        <w:widowControl w:val="false"/>
        <w:suppressAutoHyphens w:val="true"/>
        <w:overflowPunct w:val="false"/>
        <w:autoSpaceDE w:val="false"/>
        <w:bidi w:val="0"/>
        <w:spacing w:lineRule="auto" w:line="240" w:before="0" w:after="0"/>
        <w:ind w:left="0" w:right="0" w:hanging="0"/>
        <w:jc w:val="both"/>
        <w:rPr>
          <w:rStyle w:val="21"/>
          <w:rFonts w:ascii="Times New Roman" w:hAnsi="Times New Roman"/>
          <w:sz w:val="24"/>
          <w:szCs w:val="24"/>
          <w:u w:val="none"/>
        </w:rPr>
      </w:pPr>
      <w:r>
        <w:rPr>
          <w:rFonts w:ascii="Times New Roman" w:hAnsi="Times New Roman"/>
          <w:sz w:val="24"/>
          <w:szCs w:val="24"/>
        </w:rPr>
      </w:r>
    </w:p>
    <w:tbl>
      <w:tblPr>
        <w:tblW w:w="9645" w:type="dxa"/>
        <w:jc w:val="left"/>
        <w:tblInd w:w="0" w:type="dxa"/>
        <w:tblCellMar>
          <w:top w:w="55" w:type="dxa"/>
          <w:left w:w="55" w:type="dxa"/>
          <w:bottom w:w="55" w:type="dxa"/>
          <w:right w:w="55" w:type="dxa"/>
        </w:tblCellMar>
      </w:tblPr>
      <w:tblGrid>
        <w:gridCol w:w="4425"/>
        <w:gridCol w:w="2430"/>
        <w:gridCol w:w="2790"/>
      </w:tblGrid>
      <w:tr>
        <w:trPr/>
        <w:tc>
          <w:tcPr>
            <w:tcW w:w="4425"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Квалификационные уровни по ПКГ</w:t>
            </w:r>
          </w:p>
        </w:tc>
        <w:tc>
          <w:tcPr>
            <w:tcW w:w="2430"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w:t>
            </w:r>
          </w:p>
        </w:tc>
        <w:tc>
          <w:tcPr>
            <w:tcW w:w="2790" w:type="dxa"/>
            <w:tcBorders>
              <w:top w:val="single" w:sz="4" w:space="0" w:color="000000"/>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both"/>
              <w:rPr/>
            </w:pPr>
            <w:r>
              <w:rPr>
                <w:rStyle w:val="10pt"/>
                <w:rFonts w:ascii="Times New Roman" w:hAnsi="Times New Roman"/>
                <w:sz w:val="24"/>
                <w:szCs w:val="24"/>
              </w:rPr>
              <w:t>Размер минимального оклада (минимальной ставки заработной платы) работников ПКГ должностей работников физической культуры и спорта государственных бюджетных образовательных учреждений дополнительного образования детей</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1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3435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3871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1 квалификационный уровень</w:t>
            </w:r>
          </w:p>
        </w:tc>
        <w:tc>
          <w:tcPr>
            <w:tcW w:w="2430" w:type="dxa"/>
            <w:tcBorders>
              <w:left w:val="single" w:sz="4" w:space="0" w:color="000000"/>
              <w:bottom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2790" w:type="dxa"/>
            <w:tcBorders>
              <w:left w:val="single" w:sz="4" w:space="0" w:color="000000"/>
              <w:bottom w:val="single" w:sz="4" w:space="0" w:color="000000"/>
              <w:right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1,04</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1,04</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1,09</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1,09</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2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1,14</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1,14</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ПКГ должностей 2 уровня</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3923 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4420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1 квалификационный уровень</w:t>
            </w:r>
          </w:p>
        </w:tc>
        <w:tc>
          <w:tcPr>
            <w:tcW w:w="2430" w:type="dxa"/>
            <w:tcBorders>
              <w:left w:val="single" w:sz="4" w:space="0" w:color="000000"/>
              <w:bottom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2790" w:type="dxa"/>
            <w:tcBorders>
              <w:left w:val="single" w:sz="4" w:space="0" w:color="000000"/>
              <w:bottom w:val="single" w:sz="4" w:space="0" w:color="000000"/>
              <w:right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4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5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1,11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2 квалификационный уровень</w:t>
            </w:r>
          </w:p>
        </w:tc>
        <w:tc>
          <w:tcPr>
            <w:tcW w:w="2430" w:type="dxa"/>
            <w:tcBorders>
              <w:left w:val="single" w:sz="4" w:space="0" w:color="000000"/>
              <w:bottom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2790" w:type="dxa"/>
            <w:tcBorders>
              <w:left w:val="single" w:sz="4" w:space="0" w:color="000000"/>
              <w:bottom w:val="single" w:sz="4" w:space="0" w:color="000000"/>
              <w:right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6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1,23</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1,23</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7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1,35</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1,35</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3 квалификационный уровень</w:t>
            </w:r>
          </w:p>
        </w:tc>
        <w:tc>
          <w:tcPr>
            <w:tcW w:w="2430" w:type="dxa"/>
            <w:tcBorders>
              <w:left w:val="single" w:sz="4" w:space="0" w:color="000000"/>
              <w:bottom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2790" w:type="dxa"/>
            <w:tcBorders>
              <w:left w:val="single" w:sz="4" w:space="0" w:color="000000"/>
              <w:bottom w:val="single" w:sz="4" w:space="0" w:color="000000"/>
              <w:right w:val="single" w:sz="4" w:space="0" w:color="000000"/>
            </w:tcBorders>
            <w:shd w:fill="auto" w:val="clear"/>
          </w:tcPr>
          <w:p>
            <w:pPr>
              <w:pStyle w:val="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8 квалификационный разряд</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1,49</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1,49</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rPr/>
            </w:pPr>
            <w:r>
              <w:rPr>
                <w:rStyle w:val="10pt"/>
                <w:rFonts w:ascii="Times New Roman" w:hAnsi="Times New Roman"/>
                <w:sz w:val="24"/>
                <w:szCs w:val="24"/>
              </w:rPr>
              <w:t>4 квалификационный уровень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1,79</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1,79</w:t>
            </w:r>
          </w:p>
        </w:tc>
      </w:tr>
    </w:tbl>
    <w:p>
      <w:pPr>
        <w:pStyle w:val="Normal"/>
        <w:tabs>
          <w:tab w:val="clear" w:pos="708"/>
          <w:tab w:val="left" w:pos="1660" w:leader="none"/>
        </w:tabs>
        <w:spacing w:lineRule="auto" w:line="240" w:before="0" w:after="0"/>
        <w:ind w:left="0" w:right="0" w:hanging="0"/>
        <w:jc w:val="both"/>
        <w:rPr>
          <w:rFonts w:ascii="Times New Roman" w:hAnsi="Times New Roman"/>
          <w:sz w:val="24"/>
          <w:szCs w:val="24"/>
          <w:u w:val="none"/>
        </w:rPr>
      </w:pPr>
      <w:r>
        <w:rPr>
          <w:rFonts w:ascii="Times New Roman" w:hAnsi="Times New Roman"/>
          <w:sz w:val="24"/>
          <w:szCs w:val="24"/>
          <w:u w:val="none"/>
        </w:rPr>
      </w:r>
    </w:p>
    <w:p>
      <w:pPr>
        <w:pStyle w:val="Normal"/>
        <w:tabs>
          <w:tab w:val="clear" w:pos="708"/>
          <w:tab w:val="left" w:pos="1660" w:leader="none"/>
        </w:tabs>
        <w:spacing w:lineRule="auto" w:line="240" w:before="0" w:after="0"/>
        <w:ind w:left="0" w:right="0" w:hanging="0"/>
        <w:jc w:val="both"/>
        <w:rPr>
          <w:rFonts w:ascii="Times New Roman" w:hAnsi="Times New Roman"/>
          <w:sz w:val="24"/>
          <w:szCs w:val="24"/>
          <w:u w:val="none"/>
        </w:rPr>
      </w:pPr>
      <w:r>
        <w:rPr>
          <w:rFonts w:ascii="Times New Roman" w:hAnsi="Times New Roman"/>
          <w:sz w:val="24"/>
          <w:szCs w:val="24"/>
          <w:u w:val="none"/>
        </w:rPr>
        <w:t xml:space="preserve">2.1.4. </w:t>
      </w:r>
      <w:r>
        <w:rPr>
          <w:rStyle w:val="21"/>
          <w:rFonts w:ascii="Times New Roman" w:hAnsi="Times New Roman"/>
          <w:sz w:val="24"/>
          <w:szCs w:val="24"/>
        </w:rPr>
        <w:t>ПКГ должностей работников образования:</w:t>
      </w:r>
    </w:p>
    <w:p>
      <w:pPr>
        <w:pStyle w:val="Normal"/>
        <w:tabs>
          <w:tab w:val="clear" w:pos="708"/>
          <w:tab w:val="left" w:pos="1660" w:leader="none"/>
        </w:tabs>
        <w:spacing w:lineRule="auto" w:line="240" w:before="0" w:after="0"/>
        <w:ind w:left="0" w:right="0" w:hanging="0"/>
        <w:jc w:val="both"/>
        <w:rPr>
          <w:rFonts w:ascii="Times New Roman" w:hAnsi="Times New Roman"/>
          <w:sz w:val="24"/>
          <w:szCs w:val="24"/>
          <w:u w:val="none"/>
        </w:rPr>
      </w:pPr>
      <w:r>
        <w:rPr>
          <w:rFonts w:ascii="Times New Roman" w:hAnsi="Times New Roman"/>
          <w:sz w:val="24"/>
          <w:szCs w:val="24"/>
          <w:u w:val="none"/>
        </w:rPr>
      </w:r>
    </w:p>
    <w:tbl>
      <w:tblPr>
        <w:tblW w:w="9645" w:type="dxa"/>
        <w:jc w:val="left"/>
        <w:tblInd w:w="0" w:type="dxa"/>
        <w:tblCellMar>
          <w:top w:w="55" w:type="dxa"/>
          <w:left w:w="55" w:type="dxa"/>
          <w:bottom w:w="55" w:type="dxa"/>
          <w:right w:w="55" w:type="dxa"/>
        </w:tblCellMar>
      </w:tblPr>
      <w:tblGrid>
        <w:gridCol w:w="4425"/>
        <w:gridCol w:w="2430"/>
        <w:gridCol w:w="2790"/>
      </w:tblGrid>
      <w:tr>
        <w:trPr/>
        <w:tc>
          <w:tcPr>
            <w:tcW w:w="4425"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Квалификационные уровни по ПКГ</w:t>
            </w:r>
          </w:p>
        </w:tc>
        <w:tc>
          <w:tcPr>
            <w:tcW w:w="2430" w:type="dxa"/>
            <w:tcBorders>
              <w:top w:val="single" w:sz="4" w:space="0" w:color="000000"/>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Размер минимального оклада (минимальной ставки заработной платы) по ПКГ должностей педагогических работников государственных бюджетных, автономных учреждений физической культуры и спорта</w:t>
            </w:r>
          </w:p>
        </w:tc>
        <w:tc>
          <w:tcPr>
            <w:tcW w:w="2790" w:type="dxa"/>
            <w:tcBorders>
              <w:top w:val="single" w:sz="4" w:space="0" w:color="000000"/>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Размер минимального оклада (минимальной ставки заработной платы) по ПКГ должностей педагогических работников государственных бюджетных образовательных учреждений дополнительного образования детей</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ПКГ должностей педагогических работников</w:t>
            </w:r>
          </w:p>
        </w:tc>
        <w:tc>
          <w:tcPr>
            <w:tcW w:w="2430" w:type="dxa"/>
            <w:tcBorders>
              <w:left w:val="single" w:sz="4" w:space="0" w:color="000000"/>
              <w:bottom w:val="single" w:sz="4" w:space="0" w:color="000000"/>
            </w:tcBorders>
            <w:shd w:fill="auto" w:val="clear"/>
          </w:tcPr>
          <w:p>
            <w:pPr>
              <w:pStyle w:val="31"/>
              <w:snapToGrid w:val="false"/>
              <w:spacing w:lineRule="auto" w:line="240" w:before="0" w:after="0"/>
              <w:ind w:left="0" w:right="0" w:hanging="0"/>
              <w:jc w:val="center"/>
              <w:rPr>
                <w:rStyle w:val="11"/>
                <w:rFonts w:ascii="Times New Roman" w:hAnsi="Times New Roman"/>
                <w:sz w:val="24"/>
                <w:szCs w:val="24"/>
              </w:rPr>
            </w:pPr>
            <w:r>
              <w:rPr/>
            </w:r>
          </w:p>
          <w:p>
            <w:pPr>
              <w:pStyle w:val="31"/>
              <w:spacing w:lineRule="auto" w:line="240" w:before="0" w:after="0"/>
              <w:ind w:left="0" w:right="0" w:hanging="0"/>
              <w:jc w:val="center"/>
              <w:rPr/>
            </w:pPr>
            <w:r>
              <w:rPr>
                <w:rStyle w:val="11"/>
                <w:rFonts w:ascii="Times New Roman" w:hAnsi="Times New Roman"/>
                <w:sz w:val="24"/>
                <w:szCs w:val="24"/>
              </w:rPr>
              <w:t>7903 руб.</w:t>
            </w:r>
          </w:p>
        </w:tc>
        <w:tc>
          <w:tcPr>
            <w:tcW w:w="2790" w:type="dxa"/>
            <w:tcBorders>
              <w:left w:val="single" w:sz="4" w:space="0" w:color="000000"/>
              <w:bottom w:val="single" w:sz="4" w:space="0" w:color="000000"/>
              <w:right w:val="single" w:sz="4" w:space="0" w:color="000000"/>
            </w:tcBorders>
            <w:shd w:fill="auto" w:val="clear"/>
          </w:tcPr>
          <w:p>
            <w:pPr>
              <w:pStyle w:val="31"/>
              <w:snapToGrid w:val="false"/>
              <w:spacing w:lineRule="auto" w:line="240" w:before="0" w:after="0"/>
              <w:ind w:left="0" w:right="0" w:hanging="0"/>
              <w:jc w:val="center"/>
              <w:rPr>
                <w:rStyle w:val="11"/>
                <w:rFonts w:ascii="Times New Roman" w:hAnsi="Times New Roman"/>
                <w:sz w:val="24"/>
                <w:szCs w:val="24"/>
              </w:rPr>
            </w:pPr>
            <w:r>
              <w:rPr/>
            </w:r>
          </w:p>
          <w:p>
            <w:pPr>
              <w:pStyle w:val="31"/>
              <w:spacing w:lineRule="auto" w:line="240" w:before="0" w:after="0"/>
              <w:ind w:left="0" w:right="0" w:hanging="0"/>
              <w:jc w:val="center"/>
              <w:rPr/>
            </w:pPr>
            <w:r>
              <w:rPr>
                <w:rStyle w:val="11"/>
                <w:rFonts w:ascii="Times New Roman" w:hAnsi="Times New Roman"/>
                <w:sz w:val="24"/>
                <w:szCs w:val="24"/>
              </w:rPr>
              <w:t>9662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2 квалификационный уровень инструктор-методист; тренер-преподаватель; концертмейстер</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3 квалификационный уровень педагог-психолог; старший инструктор-методист; старший тренер-преподаватель</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1,21</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1,21</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ПКГ должностей руководителей структурных подразделений</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7146руб.</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7146 руб.</w:t>
            </w:r>
          </w:p>
        </w:tc>
      </w:tr>
      <w:tr>
        <w:trPr/>
        <w:tc>
          <w:tcPr>
            <w:tcW w:w="4425" w:type="dxa"/>
            <w:tcBorders>
              <w:left w:val="single" w:sz="4" w:space="0" w:color="000000"/>
              <w:bottom w:val="single" w:sz="4" w:space="0" w:color="000000"/>
            </w:tcBorders>
            <w:shd w:fill="auto" w:val="clear"/>
          </w:tcPr>
          <w:p>
            <w:pPr>
              <w:pStyle w:val="31"/>
              <w:spacing w:lineRule="auto" w:line="240" w:before="0" w:after="0"/>
              <w:ind w:left="0" w:right="0" w:hanging="0"/>
              <w:jc w:val="left"/>
              <w:rPr/>
            </w:pPr>
            <w:r>
              <w:rPr>
                <w:rStyle w:val="10pt"/>
                <w:rFonts w:ascii="Times New Roman" w:hAnsi="Times New Roman"/>
                <w:sz w:val="24"/>
                <w:szCs w:val="24"/>
              </w:rPr>
              <w:t>Повышающий коэффициент к минимальному окладу (минимальной ставке заработной платы) 1 квалификационный уровень</w:t>
            </w:r>
          </w:p>
          <w:p>
            <w:pPr>
              <w:pStyle w:val="31"/>
              <w:spacing w:lineRule="auto" w:line="240" w:before="0" w:after="0"/>
              <w:ind w:left="0" w:right="0" w:hanging="0"/>
              <w:jc w:val="left"/>
              <w:rPr/>
            </w:pPr>
            <w:r>
              <w:rPr>
                <w:rStyle w:val="10pt"/>
                <w:rFonts w:ascii="Times New Roman" w:hAnsi="Times New Roman"/>
                <w:sz w:val="24"/>
                <w:szCs w:val="24"/>
              </w:rPr>
              <w:t>заведующий (начальник) структурным подразделением: кабинетом, отделом, отделением и другими структурными подразделениями, реализующими образовательную программу дополнительного образования детей</w:t>
            </w:r>
          </w:p>
        </w:tc>
        <w:tc>
          <w:tcPr>
            <w:tcW w:w="2430" w:type="dxa"/>
            <w:tcBorders>
              <w:left w:val="single" w:sz="4" w:space="0" w:color="000000"/>
              <w:bottom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c>
          <w:tcPr>
            <w:tcW w:w="2790" w:type="dxa"/>
            <w:tcBorders>
              <w:left w:val="single" w:sz="4" w:space="0" w:color="000000"/>
              <w:bottom w:val="single" w:sz="4" w:space="0" w:color="000000"/>
              <w:right w:val="single" w:sz="4" w:space="0" w:color="000000"/>
            </w:tcBorders>
            <w:shd w:fill="auto" w:val="clear"/>
          </w:tcPr>
          <w:p>
            <w:pPr>
              <w:pStyle w:val="31"/>
              <w:spacing w:lineRule="auto" w:line="240" w:before="0" w:after="0"/>
              <w:ind w:left="0" w:right="0" w:hanging="0"/>
              <w:jc w:val="center"/>
              <w:rPr/>
            </w:pPr>
            <w:r>
              <w:rPr>
                <w:rStyle w:val="11"/>
                <w:rFonts w:ascii="Times New Roman" w:hAnsi="Times New Roman"/>
                <w:sz w:val="24"/>
                <w:szCs w:val="24"/>
              </w:rPr>
              <w:t>1,0</w:t>
            </w:r>
          </w:p>
        </w:tc>
      </w:tr>
    </w:tbl>
    <w:p>
      <w:pPr>
        <w:pStyle w:val="Normal"/>
        <w:spacing w:lineRule="auto" w:line="240" w:before="0" w:after="0"/>
        <w:ind w:left="0" w:right="0" w:hanging="0"/>
        <w:rPr>
          <w:rFonts w:ascii="Times New Roman" w:hAnsi="Times New Roman"/>
          <w:sz w:val="24"/>
          <w:szCs w:val="24"/>
        </w:rPr>
      </w:pPr>
      <w:r>
        <w:rPr>
          <w:rFonts w:ascii="Times New Roman" w:hAnsi="Times New Roman"/>
          <w:sz w:val="24"/>
          <w:szCs w:val="24"/>
        </w:rPr>
      </w:r>
    </w:p>
    <w:p>
      <w:pPr>
        <w:pStyle w:val="31"/>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Должностные оклады (ставки заработной платы) педагогических работников (с учетом нормативов за одного занимающегося) увеличиваются на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2.1.5. Оплата труда медицинских, научных, педагогических, работников культуры и других работников муниципальных бюджетных и автономных учреждений физической культуры и спорта Шарангского муниципального района, не предусмотренных настоящим Положением, производится применительно к условиям оплаты труда, установленным для аналогичных категорий работников соответствующих отраслей социальной сферы.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2.1.6. Дифференциация типовых должностей осуществляется на основе оценки возможностей трудовых функций, выполнение которых предусмотрено при занятии соответствующей должности, по соответствующей профессии или специальности.</w:t>
      </w:r>
      <w:r>
        <w:rPr>
          <w:rFonts w:ascii="Times New Roman" w:hAnsi="Times New Roman"/>
          <w:vanish/>
          <w:sz w:val="24"/>
          <w:szCs w:val="24"/>
        </w:rPr>
        <w:t>тствующим ПКГ по учреждению (структурному подразделению) не приме</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b/>
          <w:sz w:val="24"/>
          <w:szCs w:val="24"/>
        </w:rPr>
        <w:t>2.2. Оплата труда по нормативам за одного занимающегося</w:t>
      </w:r>
      <w:r>
        <w:rPr>
          <w:rFonts w:ascii="Times New Roman" w:hAnsi="Times New Roman"/>
          <w:sz w:val="24"/>
          <w:szCs w:val="24"/>
        </w:rPr>
        <w:t>.</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Размеры оплаты труда по нормативам за одного занимающегося на спортивно-оздоровительном этапе и этапе начальной подготовки устанавливается в зависимости от численного состава занимающихся и объема учебно-тренировочной работы согласно программам спортивной подготовки по видам спорта, разработанным и утвержденным муниципальными бюджетными и автономными учреждениями физической культуры и спорта Шарангского района. При отсутствии в этой программе нормативов по наполняемости учебных групп и максимальном объеме учебно-тренировочной нагрузки следует придерживаться параметров, приведенных в таблице 1.</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1</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49" w:type="dxa"/>
        <w:jc w:val="left"/>
        <w:tblInd w:w="0" w:type="dxa"/>
        <w:tblCellMar>
          <w:top w:w="0" w:type="dxa"/>
          <w:left w:w="75" w:type="dxa"/>
          <w:bottom w:w="0" w:type="dxa"/>
          <w:right w:w="75" w:type="dxa"/>
        </w:tblCellMar>
      </w:tblPr>
      <w:tblGrid>
        <w:gridCol w:w="480"/>
        <w:gridCol w:w="2214"/>
        <w:gridCol w:w="1134"/>
        <w:gridCol w:w="1701"/>
        <w:gridCol w:w="1842"/>
        <w:gridCol w:w="2278"/>
      </w:tblGrid>
      <w:tr>
        <w:trPr>
          <w:trHeight w:val="1981" w:hRule="atLeast"/>
        </w:trPr>
        <w:tc>
          <w:tcPr>
            <w:tcW w:w="480" w:type="dxa"/>
            <w:tcBorders>
              <w:top w:val="single" w:sz="4" w:space="0" w:color="000000"/>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N </w:t>
            </w:r>
          </w:p>
        </w:tc>
        <w:tc>
          <w:tcPr>
            <w:tcW w:w="2214"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Этап подготовки</w:t>
            </w:r>
          </w:p>
        </w:tc>
        <w:tc>
          <w:tcPr>
            <w:tcW w:w="1134"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Период </w:t>
              <w:br/>
              <w:t>обучения</w:t>
              <w:br/>
              <w:t xml:space="preserve"> (лет)</w:t>
            </w:r>
          </w:p>
        </w:tc>
        <w:tc>
          <w:tcPr>
            <w:tcW w:w="1701"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sz w:val="24"/>
                <w:szCs w:val="24"/>
              </w:rPr>
            </w:pPr>
            <w:r>
              <w:rPr>
                <w:rFonts w:cs="Times New Roman" w:ascii="Times New Roman" w:hAnsi="Times New Roman"/>
                <w:sz w:val="24"/>
                <w:szCs w:val="24"/>
              </w:rPr>
              <w:t>Минимальная наполняемость  групп  (человек)</w:t>
            </w:r>
          </w:p>
        </w:tc>
        <w:tc>
          <w:tcPr>
            <w:tcW w:w="1842"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sz w:val="24"/>
                <w:szCs w:val="24"/>
              </w:rPr>
            </w:pPr>
            <w:r>
              <w:rPr>
                <w:rFonts w:cs="Times New Roman" w:ascii="Times New Roman" w:hAnsi="Times New Roman"/>
                <w:sz w:val="24"/>
                <w:szCs w:val="24"/>
              </w:rPr>
              <w:t xml:space="preserve">Максимальный </w:t>
              <w:br/>
              <w:t xml:space="preserve">объем </w:t>
              <w:br/>
              <w:t>учебно-тренировочной работы</w:t>
              <w:br/>
              <w:t>(часов</w:t>
              <w:br/>
              <w:t>в неделю)</w:t>
            </w:r>
          </w:p>
        </w:tc>
        <w:tc>
          <w:tcPr>
            <w:tcW w:w="2278" w:type="dxa"/>
            <w:tcBorders>
              <w:top w:val="single" w:sz="4" w:space="0" w:color="000000"/>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sz w:val="24"/>
                <w:szCs w:val="24"/>
              </w:rPr>
            </w:pPr>
            <w:r>
              <w:rPr>
                <w:rFonts w:cs="Times New Roman" w:ascii="Times New Roman" w:hAnsi="Times New Roman"/>
                <w:sz w:val="24"/>
                <w:szCs w:val="24"/>
              </w:rPr>
              <w:t>Норматив за одного</w:t>
              <w:br/>
              <w:t xml:space="preserve"> занимающегося</w:t>
              <w:br/>
              <w:t xml:space="preserve"> (в % от должностного</w:t>
              <w:br/>
              <w:t xml:space="preserve">оклада, ставки </w:t>
              <w:br/>
              <w:t xml:space="preserve"> заработной платы) </w:t>
              <w:br/>
              <w:br/>
              <w:br/>
            </w:r>
          </w:p>
        </w:tc>
      </w:tr>
      <w:tr>
        <w:trPr>
          <w:trHeight w:val="1034" w:hRule="atLeast"/>
        </w:trPr>
        <w:tc>
          <w:tcPr>
            <w:tcW w:w="48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1.</w:t>
            </w:r>
          </w:p>
        </w:tc>
        <w:tc>
          <w:tcPr>
            <w:tcW w:w="2214"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Спортивно - </w:t>
              <w:br/>
              <w:t>оздоровительный</w:t>
            </w:r>
          </w:p>
        </w:tc>
        <w:tc>
          <w:tcPr>
            <w:tcW w:w="1134"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весь </w:t>
              <w:br/>
              <w:t xml:space="preserve"> период</w:t>
            </w:r>
          </w:p>
        </w:tc>
        <w:tc>
          <w:tcPr>
            <w:tcW w:w="1701"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15</w:t>
            </w:r>
          </w:p>
        </w:tc>
        <w:tc>
          <w:tcPr>
            <w:tcW w:w="1842"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6</w:t>
            </w:r>
          </w:p>
        </w:tc>
        <w:tc>
          <w:tcPr>
            <w:tcW w:w="2278"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sz w:val="24"/>
                <w:szCs w:val="24"/>
              </w:rPr>
            </w:pPr>
            <w:r>
              <w:rPr>
                <w:rFonts w:cs="Times New Roman" w:ascii="Times New Roman" w:hAnsi="Times New Roman"/>
                <w:sz w:val="24"/>
                <w:szCs w:val="24"/>
              </w:rPr>
              <w:t>2,2 (для учреждений,</w:t>
              <w:br/>
              <w:t>имеющих специализацию - 1,0)</w:t>
            </w:r>
          </w:p>
        </w:tc>
      </w:tr>
      <w:tr>
        <w:trPr>
          <w:trHeight w:val="360" w:hRule="atLeast"/>
        </w:trPr>
        <w:tc>
          <w:tcPr>
            <w:tcW w:w="480" w:type="dxa"/>
            <w:vMerge w:val="restart"/>
            <w:tcBorders>
              <w:left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2.</w:t>
            </w:r>
          </w:p>
        </w:tc>
        <w:tc>
          <w:tcPr>
            <w:tcW w:w="2214" w:type="dxa"/>
            <w:vMerge w:val="restart"/>
            <w:tcBorders>
              <w:lef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Начальной </w:t>
              <w:br/>
              <w:t>подготовки</w:t>
            </w:r>
          </w:p>
        </w:tc>
        <w:tc>
          <w:tcPr>
            <w:tcW w:w="1134"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года</w:t>
            </w:r>
          </w:p>
        </w:tc>
        <w:tc>
          <w:tcPr>
            <w:tcW w:w="1701"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15</w:t>
            </w:r>
          </w:p>
        </w:tc>
        <w:tc>
          <w:tcPr>
            <w:tcW w:w="1842"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6</w:t>
            </w:r>
          </w:p>
        </w:tc>
        <w:tc>
          <w:tcPr>
            <w:tcW w:w="2278"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3</w:t>
            </w:r>
          </w:p>
        </w:tc>
      </w:tr>
      <w:tr>
        <w:trPr>
          <w:trHeight w:val="360" w:hRule="atLeast"/>
        </w:trPr>
        <w:tc>
          <w:tcPr>
            <w:tcW w:w="480" w:type="dxa"/>
            <w:vMerge w:val="continue"/>
            <w:tcBorders>
              <w:left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2214" w:type="dxa"/>
            <w:vMerge w:val="continue"/>
            <w:tcBorders>
              <w:left w:val="single" w:sz="4" w:space="0" w:color="000000"/>
            </w:tcBorders>
            <w:shd w:fill="auto" w:val="clear"/>
          </w:tcPr>
          <w:p>
            <w:pPr>
              <w:pStyle w:val="ConsPlusCel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свыше </w:t>
              <w:br/>
              <w:t xml:space="preserve"> года</w:t>
            </w:r>
          </w:p>
        </w:tc>
        <w:tc>
          <w:tcPr>
            <w:tcW w:w="1701"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14</w:t>
            </w:r>
          </w:p>
        </w:tc>
        <w:tc>
          <w:tcPr>
            <w:tcW w:w="1842"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9</w:t>
            </w:r>
          </w:p>
        </w:tc>
        <w:tc>
          <w:tcPr>
            <w:tcW w:w="2278"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5</w:t>
            </w:r>
          </w:p>
        </w:tc>
      </w:tr>
    </w:tbl>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применении нормативов за одного занимающегося оплата труда производится по количеству зачисленных спортсменов в группе в пределах установленного максимального количества.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На спортивно-оздоровительном этапе подготовки при минимальной наполняемости групп норматив оплаты труда за количество занимающихся установить 100%.</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Норматив оплаты труда за одного занимающегося в спортивно-оздоровительных группах повышается на 0,5 процента за каждые два года обучения под руководством одного тренера.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оплате труда по нормативам за одного занимающегося максимальный состав спортивно-оздоровительных групп и групп начальной подготовки не должен превышать 30 человек с учетом соблюдения правил техники безопасности на учебно-тренировочных занятиях.</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Нормативы оплаты труда тренеров, тренеров-преподавателей на тренировочном этапе, этапах совершенствования спортивного мастерства и высшего спортивного мастерства устанавливаются согласно программам спортивной подготовки по видам спорта, разработанным и реализуемым учреждениями. При отсутствии в указанных в настоящем абзаце программах спортивной подготовки нормативов по наполняемости групп и максимальном объеме тренировочной нагрузки применяются параметры, приведенные в таблице 2.</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2</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10" w:type="dxa"/>
        <w:jc w:val="left"/>
        <w:tblInd w:w="0" w:type="dxa"/>
        <w:tblCellMar>
          <w:top w:w="0" w:type="dxa"/>
          <w:left w:w="75" w:type="dxa"/>
          <w:bottom w:w="0" w:type="dxa"/>
          <w:right w:w="75" w:type="dxa"/>
        </w:tblCellMar>
      </w:tblPr>
      <w:tblGrid>
        <w:gridCol w:w="2640"/>
        <w:gridCol w:w="1200"/>
        <w:gridCol w:w="840"/>
        <w:gridCol w:w="1080"/>
        <w:gridCol w:w="1200"/>
        <w:gridCol w:w="2650"/>
      </w:tblGrid>
      <w:tr>
        <w:trPr>
          <w:trHeight w:val="900" w:hRule="atLeast"/>
        </w:trPr>
        <w:tc>
          <w:tcPr>
            <w:tcW w:w="2640"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Этапы подготовки</w:t>
            </w:r>
          </w:p>
        </w:tc>
        <w:tc>
          <w:tcPr>
            <w:tcW w:w="1200"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Период </w:t>
              <w:br/>
              <w:t>обучения</w:t>
              <w:br/>
              <w:t xml:space="preserve"> (лет)</w:t>
            </w:r>
          </w:p>
        </w:tc>
        <w:tc>
          <w:tcPr>
            <w:tcW w:w="3120" w:type="dxa"/>
            <w:gridSpan w:val="3"/>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Норматив за подготовку</w:t>
              <w:br/>
              <w:t xml:space="preserve"> одного занимающегося </w:t>
              <w:br/>
              <w:t xml:space="preserve"> (в % от должностного </w:t>
              <w:br/>
              <w:t xml:space="preserve"> оклада, ставки </w:t>
              <w:br/>
              <w:t xml:space="preserve"> заработной платы)</w:t>
            </w:r>
          </w:p>
        </w:tc>
        <w:tc>
          <w:tcPr>
            <w:tcW w:w="2650" w:type="dxa"/>
            <w:tcBorders>
              <w:top w:val="single" w:sz="4" w:space="0" w:color="000000"/>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Максимальный объем </w:t>
              <w:br/>
              <w:t>тренировочной</w:t>
              <w:br/>
              <w:t xml:space="preserve"> работы на одну </w:t>
              <w:br/>
              <w:t>группу (час/неделю)</w:t>
            </w:r>
          </w:p>
        </w:tc>
      </w:tr>
      <w:tr>
        <w:trPr/>
        <w:tc>
          <w:tcPr>
            <w:tcW w:w="2640" w:type="dxa"/>
            <w:tcBorders>
              <w:left w:val="single" w:sz="4" w:space="0" w:color="000000"/>
              <w:bottom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1200" w:type="dxa"/>
            <w:tcBorders>
              <w:left w:val="single" w:sz="4" w:space="0" w:color="000000"/>
              <w:bottom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3120" w:type="dxa"/>
            <w:gridSpan w:val="3"/>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Группы видов спорта </w:t>
            </w:r>
          </w:p>
        </w:tc>
        <w:tc>
          <w:tcPr>
            <w:tcW w:w="2650" w:type="dxa"/>
            <w:tcBorders>
              <w:left w:val="single" w:sz="4" w:space="0" w:color="000000"/>
              <w:bottom w:val="single" w:sz="4" w:space="0" w:color="000000"/>
              <w:right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r>
      <w:tr>
        <w:trPr/>
        <w:tc>
          <w:tcPr>
            <w:tcW w:w="2640" w:type="dxa"/>
            <w:tcBorders>
              <w:left w:val="single" w:sz="4" w:space="0" w:color="000000"/>
              <w:bottom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1200" w:type="dxa"/>
            <w:tcBorders>
              <w:left w:val="single" w:sz="4" w:space="0" w:color="000000"/>
              <w:bottom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84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I </w:t>
            </w:r>
          </w:p>
        </w:tc>
        <w:tc>
          <w:tcPr>
            <w:tcW w:w="108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II </w:t>
            </w:r>
          </w:p>
        </w:tc>
        <w:tc>
          <w:tcPr>
            <w:tcW w:w="120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III </w:t>
            </w:r>
          </w:p>
        </w:tc>
        <w:tc>
          <w:tcPr>
            <w:tcW w:w="2650" w:type="dxa"/>
            <w:tcBorders>
              <w:left w:val="single" w:sz="4" w:space="0" w:color="000000"/>
              <w:bottom w:val="single" w:sz="4" w:space="0" w:color="000000"/>
              <w:right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r>
      <w:tr>
        <w:trPr>
          <w:trHeight w:val="720" w:hRule="atLeast"/>
        </w:trPr>
        <w:tc>
          <w:tcPr>
            <w:tcW w:w="2640" w:type="dxa"/>
            <w:vMerge w:val="restart"/>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Тренировочный</w:t>
            </w:r>
          </w:p>
        </w:tc>
        <w:tc>
          <w:tcPr>
            <w:tcW w:w="120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1 - 2 </w:t>
              <w:br/>
              <w:t xml:space="preserve"> год </w:t>
              <w:br/>
              <w:t>обучения</w:t>
            </w:r>
          </w:p>
        </w:tc>
        <w:tc>
          <w:tcPr>
            <w:tcW w:w="84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9</w:t>
            </w:r>
          </w:p>
        </w:tc>
        <w:tc>
          <w:tcPr>
            <w:tcW w:w="108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8</w:t>
            </w:r>
          </w:p>
        </w:tc>
        <w:tc>
          <w:tcPr>
            <w:tcW w:w="120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7</w:t>
            </w:r>
          </w:p>
        </w:tc>
        <w:tc>
          <w:tcPr>
            <w:tcW w:w="2650"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12</w:t>
            </w:r>
          </w:p>
        </w:tc>
      </w:tr>
      <w:tr>
        <w:trPr>
          <w:trHeight w:val="360" w:hRule="atLeast"/>
        </w:trPr>
        <w:tc>
          <w:tcPr>
            <w:tcW w:w="2640" w:type="dxa"/>
            <w:vMerge w:val="continue"/>
            <w:tcBorders>
              <w:left w:val="single" w:sz="4" w:space="0" w:color="000000"/>
              <w:bottom w:val="single" w:sz="4" w:space="0" w:color="000000"/>
            </w:tcBorders>
            <w:shd w:fill="auto" w:val="clear"/>
            <w:vAlign w:val="center"/>
          </w:tcPr>
          <w:p>
            <w:pPr>
              <w:pStyle w:val="ConsPlusCel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20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свыше 2 </w:t>
              <w:br/>
              <w:t xml:space="preserve"> лет</w:t>
            </w:r>
          </w:p>
        </w:tc>
        <w:tc>
          <w:tcPr>
            <w:tcW w:w="84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15</w:t>
            </w:r>
          </w:p>
        </w:tc>
        <w:tc>
          <w:tcPr>
            <w:tcW w:w="108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13</w:t>
            </w:r>
          </w:p>
        </w:tc>
        <w:tc>
          <w:tcPr>
            <w:tcW w:w="120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11</w:t>
            </w:r>
          </w:p>
        </w:tc>
        <w:tc>
          <w:tcPr>
            <w:tcW w:w="2650"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18</w:t>
            </w:r>
          </w:p>
        </w:tc>
      </w:tr>
      <w:tr>
        <w:trPr>
          <w:trHeight w:val="360" w:hRule="atLeast"/>
        </w:trPr>
        <w:tc>
          <w:tcPr>
            <w:tcW w:w="2640" w:type="dxa"/>
            <w:vMerge w:val="restart"/>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sz w:val="24"/>
                <w:szCs w:val="24"/>
              </w:rPr>
            </w:pPr>
            <w:r>
              <w:rPr>
                <w:rFonts w:cs="Times New Roman" w:ascii="Times New Roman" w:hAnsi="Times New Roman"/>
                <w:sz w:val="24"/>
                <w:szCs w:val="24"/>
              </w:rPr>
              <w:t xml:space="preserve">Совершенствования </w:t>
              <w:br/>
              <w:t xml:space="preserve">спортивного мастерства </w:t>
              <w:br/>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года</w:t>
            </w:r>
          </w:p>
        </w:tc>
        <w:tc>
          <w:tcPr>
            <w:tcW w:w="84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24</w:t>
            </w:r>
          </w:p>
        </w:tc>
        <w:tc>
          <w:tcPr>
            <w:tcW w:w="108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21</w:t>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18</w:t>
            </w:r>
          </w:p>
        </w:tc>
        <w:tc>
          <w:tcPr>
            <w:tcW w:w="265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24</w:t>
            </w:r>
          </w:p>
        </w:tc>
      </w:tr>
      <w:tr>
        <w:trPr>
          <w:trHeight w:val="360" w:hRule="atLeast"/>
        </w:trPr>
        <w:tc>
          <w:tcPr>
            <w:tcW w:w="2640" w:type="dxa"/>
            <w:vMerge w:val="continue"/>
            <w:tcBorders>
              <w:top w:val="single" w:sz="4" w:space="0" w:color="000000"/>
              <w:left w:val="single" w:sz="4" w:space="0" w:color="000000"/>
              <w:bottom w:val="single" w:sz="4" w:space="0" w:color="000000"/>
            </w:tcBorders>
            <w:shd w:fill="auto" w:val="clear"/>
            <w:vAlign w:val="center"/>
          </w:tcPr>
          <w:p>
            <w:pPr>
              <w:pStyle w:val="ConsPlusCel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свыше </w:t>
              <w:br/>
              <w:t xml:space="preserve"> года</w:t>
            </w:r>
          </w:p>
        </w:tc>
        <w:tc>
          <w:tcPr>
            <w:tcW w:w="84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39</w:t>
            </w:r>
          </w:p>
        </w:tc>
        <w:tc>
          <w:tcPr>
            <w:tcW w:w="108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34</w:t>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29</w:t>
            </w:r>
          </w:p>
        </w:tc>
        <w:tc>
          <w:tcPr>
            <w:tcW w:w="265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28</w:t>
            </w:r>
          </w:p>
        </w:tc>
      </w:tr>
      <w:tr>
        <w:trPr>
          <w:trHeight w:val="360" w:hRule="atLeast"/>
        </w:trPr>
        <w:tc>
          <w:tcPr>
            <w:tcW w:w="264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Высшего спортивного </w:t>
              <w:br/>
              <w:t>мастерства</w:t>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Весь </w:t>
              <w:br/>
              <w:t xml:space="preserve"> период</w:t>
            </w:r>
          </w:p>
        </w:tc>
        <w:tc>
          <w:tcPr>
            <w:tcW w:w="84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40</w:t>
            </w:r>
          </w:p>
        </w:tc>
        <w:tc>
          <w:tcPr>
            <w:tcW w:w="108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35</w:t>
            </w:r>
          </w:p>
        </w:tc>
        <w:tc>
          <w:tcPr>
            <w:tcW w:w="120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35</w:t>
            </w:r>
          </w:p>
        </w:tc>
        <w:tc>
          <w:tcPr>
            <w:tcW w:w="265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32</w:t>
            </w:r>
          </w:p>
        </w:tc>
      </w:tr>
    </w:tbl>
    <w:p>
      <w:pPr>
        <w:pStyle w:val="Normal"/>
        <w:widowControl w:val="false"/>
        <w:autoSpaceDE w:val="false"/>
        <w:rPr>
          <w:rFonts w:ascii="Times New Roman" w:hAnsi="Times New Roman"/>
          <w:sz w:val="24"/>
          <w:szCs w:val="24"/>
        </w:rPr>
      </w:pPr>
      <w:r>
        <w:rPr>
          <w:rFonts w:ascii="Times New Roman" w:hAnsi="Times New Roman"/>
          <w:sz w:val="24"/>
          <w:szCs w:val="24"/>
        </w:rPr>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 сложно-технических видах спорта (прыжки на лыжах с трамплина, лыжное двоеборье и другие) за тренером, осуществлявшим подготовку спортсмена на этапах начальной подготовки и тренировочном этапе 1 - 3 годов обучения и передавшим своего воспитанника тренеру, осуществляющему дальнейшую подготовку спортсмена на тренировочном этапе 4 - 5 годов обучения, этапах спортивного совершенствования и высшего спортивного мастерства, сохраняются следующие выплаты: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до 100 процентов от действующих на момент передачи - в течение года;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до 50 процентов от действующих на момент передачи - после истечения года до конца олимпийского цикла.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Все виды спорта распределяются по группам в следующем порядке:</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I группа видов спорта - виды спорта (спортивные дисциплины), включенные в программу Олимпийских игр, кроме командных игровых видов спорта;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II группа видов спорта - командные игровые виды спорта (спортивные дисциплины), включенные в программу Олимпийских игр, а также виды спорта, не включенные в программу Олимпийских игр, но получившие признание Международного олимпийского комитета и включенные во Всероссийский реестр видов спорта;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III группа видов спорта - все другие виды спорта (спортивные дисциплины), включенные во Всероссийский реестр видов спорта (применяется для настоящего Положения).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объединении в одну группу занимающихся, разных по возрасту и спортивной подготовленности, разница в уровнях их спортивного мастерства не должна превышать двух разрядов, а их количественный состав на этапах: высшего спортивного мастерства - 8 человек; спортивного совершенствования - 12 человек; тренировочном - 16 человек (для занимающихся свыше 2 лет) и 20 человек (для занимающихся до 2 лет) с учетом правил техники безопасности на тренировочных занятиях.</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Кроме основного тренера, тренера-преподавателя, могут привлекаться иные специалисты (по акробатике, хореографии и другому) при условии одновременной работы со спортсменами. Оплата их труда не должна суммарно превышать половины от размера норматива оплаты труда, предусмотренного для основного тренера-преподавателя.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Недельный режим тренировочной работы является максимальным, устанавливается в зависимости от специфики вида спорта, периода и задач подготовки. Годовой объем тренировочной работы, предусмотренный указанными режимами работы, начиная с тренировочного этапа подготовки, может быть сокращен не более чем на 25 процентов.</w:t>
      </w:r>
    </w:p>
    <w:p>
      <w:pPr>
        <w:pStyle w:val="Normal"/>
        <w:widowControl w:val="false"/>
        <w:autoSpaceDE w:val="false"/>
        <w:ind w:left="0" w:right="0" w:firstLine="567"/>
        <w:jc w:val="both"/>
        <w:rPr>
          <w:rFonts w:ascii="Times New Roman" w:hAnsi="Times New Roman"/>
          <w:sz w:val="24"/>
          <w:szCs w:val="24"/>
        </w:rPr>
      </w:pPr>
      <w:bookmarkStart w:id="0" w:name="Par349"/>
      <w:bookmarkEnd w:id="0"/>
      <w:r>
        <w:rPr>
          <w:rFonts w:ascii="Times New Roman" w:hAnsi="Times New Roman"/>
          <w:sz w:val="24"/>
          <w:szCs w:val="24"/>
        </w:rPr>
        <w:t>2.3. В рабочее время тренеров, осуществляющих спортивную подготовку, включается тренерская работа, индивидуальная работа со спортсменами, научная, творческая, и исследовательская работа, а также другая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спортивных и иных мероприятий, проводимых со спортсменами, участие в работе коллегиальных органов управления учреждением.</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Тренерам, осуществляющим спортивную подготовку, устанавливается ставка заработной платы за норму часов непосредственно тренерской работы 24 часа в неделю.</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Объем тренерской нагрузки работников определяется ежегодно на начало тренировочного периода (спортивного сезона) и устанавливается распорядительным актом учреждения.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Объем тренерской нагрузки, установленный работнику, оговаривается в трудовом договоре (дополнительном соглашении к трудовому договору).</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Объем тренерской нагрузки работников, установленный на начало тренировочного периода (спортивного сезона), не может быть изменен в текущем году (тренировочном периоде, спортивном сезоне) по инициативе работодателя, за исключением ее снижения, связанного с уменьшением количества часов по планам, графикам спортивной подготовки, сокращением количества спортсменов, групп.</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определении объема тренерской нагрузки на следующий год (тренировочный период, спортивный сезон) сохраняется преемственность работников в подготовке спортсменов, не допускается ее изменение в сторону снижения, за исключением случаев, связанных с уменьшением количества часов по планам, графикам спортивной подготовки, сокращения количества спортсменов, групп.</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Об изменениях объемов тренерской нагрузки (увеличении или снижении), а также о причинах, вызвавших необходимость таких изменений, работодатель уведомляет работников в письменной форме не позднее, чем за два месяца до осуществления предполагаемых изменений, за исключением случаев, когда изменение объема тренерской нагрузки осуществляется по соглашению сторон трудового договора.</w:t>
      </w:r>
    </w:p>
    <w:p>
      <w:pPr>
        <w:pStyle w:val="Normal"/>
        <w:widowControl w:val="false"/>
        <w:autoSpaceDE w:val="false"/>
        <w:ind w:left="0" w:right="0" w:firstLine="567"/>
        <w:jc w:val="both"/>
        <w:rPr>
          <w:rFonts w:ascii="Times New Roman" w:hAnsi="Times New Roman"/>
          <w:sz w:val="24"/>
          <w:szCs w:val="24"/>
        </w:rPr>
      </w:pPr>
      <w:bookmarkStart w:id="1" w:name="Par664"/>
      <w:bookmarkEnd w:id="1"/>
      <w:r>
        <w:rPr>
          <w:rFonts w:ascii="Times New Roman" w:hAnsi="Times New Roman"/>
          <w:sz w:val="24"/>
          <w:szCs w:val="24"/>
        </w:rPr>
        <w:t>2.4. При расчете должностного оклада, ставки заработной платы учитываются следующие повышающие коэффициенты: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повышающий коэффициент за занимаемую должность,</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коэффициент квалификации,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коэффициент специфики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персональный повышающий коэффициент.</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Повышающие коэффициенты к минимальным должностным окладам, минимальным ставкам заработной платы устанавливаются с учетом обеспечения финансовыми средствами на определенный период времени в течение соответствующего календарного года.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Применение повышающих коэффициентов к минимальным окладам, минимальным ставкам заработной платы образует должностной оклад, ставку заработной платы и учитывается при расчете выплат компенсационного характера.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2.4.1. Повышающий коэффициент квалификации к минимальному окладу, минимальной ставке заработной платы работника по занимаемой должности устанавливается с учетом уровня его профессиональной подготовки, компетентности и квалификации.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Размеры коэффициента квалификации приведены в таблице 3.</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3</w:t>
      </w:r>
    </w:p>
    <w:tbl>
      <w:tblPr>
        <w:tblW w:w="9645" w:type="dxa"/>
        <w:jc w:val="left"/>
        <w:tblInd w:w="7" w:type="dxa"/>
        <w:tblCellMar>
          <w:top w:w="0" w:type="dxa"/>
          <w:left w:w="108" w:type="dxa"/>
          <w:bottom w:w="0" w:type="dxa"/>
          <w:right w:w="108" w:type="dxa"/>
        </w:tblCellMar>
      </w:tblPr>
      <w:tblGrid>
        <w:gridCol w:w="4665"/>
        <w:gridCol w:w="4980"/>
      </w:tblGrid>
      <w:tr>
        <w:trPr/>
        <w:tc>
          <w:tcPr>
            <w:tcW w:w="4665" w:type="dxa"/>
            <w:tcBorders>
              <w:top w:val="single" w:sz="4" w:space="0" w:color="000000"/>
              <w:left w:val="single" w:sz="4" w:space="0" w:color="000000"/>
              <w:bottom w:val="single" w:sz="4" w:space="0" w:color="000000"/>
            </w:tcBorders>
            <w:shd w:fill="auto" w:val="clear"/>
          </w:tcPr>
          <w:p>
            <w:pPr>
              <w:pStyle w:val="Normal"/>
              <w:widowControl w:val="false"/>
              <w:numPr>
                <w:ilvl w:val="0"/>
                <w:numId w:val="0"/>
              </w:numPr>
              <w:autoSpaceDE w:val="false"/>
              <w:jc w:val="center"/>
              <w:outlineLvl w:val="2"/>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 xml:space="preserve">Показатели квалификации </w:t>
            </w:r>
          </w:p>
        </w:tc>
        <w:tc>
          <w:tcPr>
            <w:tcW w:w="4980" w:type="dxa"/>
            <w:tcBorders>
              <w:top w:val="single" w:sz="4" w:space="0" w:color="000000"/>
              <w:left w:val="single" w:sz="4" w:space="0" w:color="000000"/>
              <w:bottom w:val="single" w:sz="4" w:space="0" w:color="000000"/>
              <w:right w:val="single" w:sz="4" w:space="0" w:color="000000"/>
            </w:tcBorders>
            <w:shd w:fill="auto" w:val="clear"/>
          </w:tcPr>
          <w:p>
            <w:pPr>
              <w:pStyle w:val="Normal"/>
              <w:widowControl w:val="false"/>
              <w:numPr>
                <w:ilvl w:val="0"/>
                <w:numId w:val="0"/>
              </w:numPr>
              <w:autoSpaceDE w:val="false"/>
              <w:jc w:val="center"/>
              <w:outlineLvl w:val="2"/>
              <w:rPr>
                <w:rFonts w:ascii="Times New Roman" w:hAnsi="Times New Roman"/>
                <w:sz w:val="24"/>
                <w:szCs w:val="24"/>
              </w:rPr>
            </w:pPr>
            <w:r>
              <w:rPr>
                <w:rFonts w:ascii="Times New Roman" w:hAnsi="Times New Roman"/>
                <w:sz w:val="24"/>
                <w:szCs w:val="24"/>
              </w:rPr>
              <w:t xml:space="preserve">Размер повышающего коэффициента </w:t>
            </w:r>
          </w:p>
        </w:tc>
      </w:tr>
      <w:tr>
        <w:trPr/>
        <w:tc>
          <w:tcPr>
            <w:tcW w:w="4665"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высшая категория</w:t>
            </w:r>
          </w:p>
          <w:p>
            <w:pPr>
              <w:pStyle w:val="ConsPlusCell"/>
              <w:jc w:val="center"/>
              <w:rPr>
                <w:rFonts w:ascii="Times New Roman" w:hAnsi="Times New Roman" w:cs="Times New Roman"/>
                <w:sz w:val="24"/>
                <w:szCs w:val="24"/>
              </w:rPr>
            </w:pPr>
            <w:r>
              <w:rPr>
                <w:rFonts w:cs="Times New Roman" w:ascii="Times New Roman" w:hAnsi="Times New Roman"/>
                <w:sz w:val="24"/>
                <w:szCs w:val="24"/>
              </w:rPr>
              <w:t>первая категория</w:t>
            </w:r>
          </w:p>
          <w:p>
            <w:pPr>
              <w:pStyle w:val="ConsPlusCell"/>
              <w:jc w:val="center"/>
              <w:rPr>
                <w:rFonts w:ascii="Times New Roman" w:hAnsi="Times New Roman" w:cs="Times New Roman"/>
                <w:sz w:val="24"/>
                <w:szCs w:val="24"/>
              </w:rPr>
            </w:pPr>
            <w:r>
              <w:rPr>
                <w:rFonts w:cs="Times New Roman" w:ascii="Times New Roman" w:hAnsi="Times New Roman"/>
                <w:sz w:val="24"/>
                <w:szCs w:val="24"/>
              </w:rPr>
              <w:t>вторая категория</w:t>
            </w:r>
          </w:p>
        </w:tc>
        <w:tc>
          <w:tcPr>
            <w:tcW w:w="4980" w:type="dxa"/>
            <w:tcBorders>
              <w:top w:val="single" w:sz="4" w:space="0" w:color="000000"/>
              <w:left w:val="single" w:sz="4" w:space="0" w:color="000000"/>
              <w:bottom w:val="single" w:sz="4" w:space="0" w:color="000000"/>
              <w:right w:val="single" w:sz="4" w:space="0" w:color="000000"/>
            </w:tcBorders>
            <w:shd w:fill="auto" w:val="clear"/>
          </w:tcPr>
          <w:p>
            <w:pPr>
              <w:pStyle w:val="Normal"/>
              <w:widowControl w:val="false"/>
              <w:numPr>
                <w:ilvl w:val="0"/>
                <w:numId w:val="0"/>
              </w:numPr>
              <w:autoSpaceDE w:val="false"/>
              <w:jc w:val="center"/>
              <w:outlineLvl w:val="2"/>
              <w:rPr>
                <w:rFonts w:ascii="Times New Roman" w:hAnsi="Times New Roman"/>
                <w:sz w:val="24"/>
                <w:szCs w:val="24"/>
              </w:rPr>
            </w:pPr>
            <w:r>
              <w:rPr>
                <w:rFonts w:ascii="Times New Roman" w:hAnsi="Times New Roman"/>
                <w:sz w:val="24"/>
                <w:szCs w:val="24"/>
              </w:rPr>
              <w:t>до 0, 8</w:t>
            </w:r>
          </w:p>
          <w:p>
            <w:pPr>
              <w:pStyle w:val="Normal"/>
              <w:widowControl w:val="false"/>
              <w:numPr>
                <w:ilvl w:val="0"/>
                <w:numId w:val="0"/>
              </w:numPr>
              <w:autoSpaceDE w:val="false"/>
              <w:jc w:val="center"/>
              <w:outlineLvl w:val="2"/>
              <w:rPr>
                <w:rFonts w:ascii="Times New Roman" w:hAnsi="Times New Roman"/>
                <w:sz w:val="24"/>
                <w:szCs w:val="24"/>
              </w:rPr>
            </w:pPr>
            <w:r>
              <w:rPr>
                <w:rFonts w:ascii="Times New Roman" w:hAnsi="Times New Roman"/>
                <w:sz w:val="24"/>
                <w:szCs w:val="24"/>
              </w:rPr>
              <w:t xml:space="preserve">до 0,5 </w:t>
            </w:r>
          </w:p>
          <w:p>
            <w:pPr>
              <w:pStyle w:val="Normal"/>
              <w:widowControl w:val="false"/>
              <w:numPr>
                <w:ilvl w:val="0"/>
                <w:numId w:val="0"/>
              </w:numPr>
              <w:autoSpaceDE w:val="false"/>
              <w:jc w:val="center"/>
              <w:outlineLvl w:val="2"/>
              <w:rPr>
                <w:rFonts w:ascii="Times New Roman" w:hAnsi="Times New Roman"/>
                <w:sz w:val="24"/>
                <w:szCs w:val="24"/>
              </w:rPr>
            </w:pPr>
            <w:r>
              <w:rPr>
                <w:rFonts w:ascii="Times New Roman" w:hAnsi="Times New Roman"/>
                <w:sz w:val="24"/>
                <w:szCs w:val="24"/>
              </w:rPr>
              <w:t xml:space="preserve">до 0,3 </w:t>
            </w:r>
          </w:p>
        </w:tc>
      </w:tr>
    </w:tbl>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Присвоение работникам квалификационных категорий осуществляется аттестационной комиссией с учетом требований к результатам их работы.</w:t>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Коэффициент квалификации спортсменам-инструкторам устанавливается в зависимости от наличия спортивного разряда, спортивного звания.</w:t>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Размеры коэффициентов квалификации для спортсменов-инструкторов приведены в таблице 4.</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4</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585" w:type="dxa"/>
        <w:jc w:val="left"/>
        <w:tblInd w:w="0" w:type="dxa"/>
        <w:tblCellMar>
          <w:top w:w="0" w:type="dxa"/>
          <w:left w:w="75" w:type="dxa"/>
          <w:bottom w:w="0" w:type="dxa"/>
          <w:right w:w="75" w:type="dxa"/>
        </w:tblCellMar>
      </w:tblPr>
      <w:tblGrid>
        <w:gridCol w:w="1320"/>
        <w:gridCol w:w="1680"/>
        <w:gridCol w:w="1962"/>
        <w:gridCol w:w="2238"/>
        <w:gridCol w:w="2385"/>
      </w:tblGrid>
      <w:tr>
        <w:trPr>
          <w:trHeight w:val="1080" w:hRule="atLeast"/>
        </w:trPr>
        <w:tc>
          <w:tcPr>
            <w:tcW w:w="1320"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Кандидат </w:t>
              <w:br/>
              <w:t xml:space="preserve"> в </w:t>
              <w:br/>
              <w:t xml:space="preserve"> мастера </w:t>
              <w:br/>
              <w:t xml:space="preserve"> спорта</w:t>
            </w:r>
          </w:p>
        </w:tc>
        <w:tc>
          <w:tcPr>
            <w:tcW w:w="1680"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Мастер </w:t>
              <w:br/>
              <w:t xml:space="preserve"> спорта </w:t>
              <w:br/>
              <w:t xml:space="preserve"> России, </w:t>
              <w:br/>
              <w:t>гроссмейстер</w:t>
              <w:br/>
              <w:t xml:space="preserve"> России</w:t>
            </w:r>
          </w:p>
        </w:tc>
        <w:tc>
          <w:tcPr>
            <w:tcW w:w="1962"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sz w:val="24"/>
                <w:szCs w:val="24"/>
              </w:rPr>
            </w:pPr>
            <w:r>
              <w:rPr>
                <w:rFonts w:cs="Times New Roman" w:ascii="Times New Roman" w:hAnsi="Times New Roman"/>
                <w:sz w:val="24"/>
                <w:szCs w:val="24"/>
              </w:rPr>
              <w:t xml:space="preserve">Мастер спорта </w:t>
              <w:br/>
              <w:t xml:space="preserve"> России международного класса</w:t>
            </w:r>
          </w:p>
        </w:tc>
        <w:tc>
          <w:tcPr>
            <w:tcW w:w="2238"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Мастер спорта </w:t>
              <w:br/>
              <w:t xml:space="preserve"> России </w:t>
              <w:br/>
              <w:t xml:space="preserve"> международного </w:t>
              <w:br/>
              <w:t xml:space="preserve"> класса - призер </w:t>
              <w:br/>
              <w:t xml:space="preserve"> всероссийских </w:t>
              <w:br/>
              <w:t xml:space="preserve"> соревнований</w:t>
            </w:r>
          </w:p>
        </w:tc>
        <w:tc>
          <w:tcPr>
            <w:tcW w:w="2385" w:type="dxa"/>
            <w:tcBorders>
              <w:top w:val="single" w:sz="4" w:space="0" w:color="000000"/>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Мастер спорта </w:t>
              <w:br/>
              <w:t xml:space="preserve"> России </w:t>
              <w:br/>
              <w:t xml:space="preserve"> международного </w:t>
              <w:br/>
              <w:t xml:space="preserve"> класса - призер </w:t>
              <w:br/>
              <w:t xml:space="preserve"> международных </w:t>
              <w:br/>
              <w:t xml:space="preserve"> соревнований</w:t>
            </w:r>
          </w:p>
        </w:tc>
      </w:tr>
      <w:tr>
        <w:trPr/>
        <w:tc>
          <w:tcPr>
            <w:tcW w:w="1320"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1</w:t>
            </w:r>
          </w:p>
        </w:tc>
        <w:tc>
          <w:tcPr>
            <w:tcW w:w="1680"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1,5</w:t>
            </w:r>
          </w:p>
        </w:tc>
        <w:tc>
          <w:tcPr>
            <w:tcW w:w="1962"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2</w:t>
            </w:r>
          </w:p>
        </w:tc>
        <w:tc>
          <w:tcPr>
            <w:tcW w:w="2238" w:type="dxa"/>
            <w:tcBorders>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2,5</w:t>
            </w:r>
          </w:p>
        </w:tc>
        <w:tc>
          <w:tcPr>
            <w:tcW w:w="2385"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3,5</w:t>
            </w:r>
          </w:p>
        </w:tc>
      </w:tr>
    </w:tbl>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2.4.2. Повышающий коэффициент специфики работы учитывает особенности функционирования учреждения, а также отдельных работников учреждения.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Коэффициент специфики работы для работников учреждений физической культуры и спорта, имеющих в соответствии с законодательством право использовать в своих наименованиях слово «олимпийский» или образованные на его основе слова и словосочетания, устанавливается в размере 0,15 к минимальному окладу, минимальной ставке заработной платы.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xml:space="preserve">Работникам учреждений физической культуры и спорта, связанных с работой с инвалидами и лицами с ограниченными возможностями здоровья, устанавливается коэффициент специфики работы в размере 0,2 к минимальному окладу, минимальной ставке заработной платы. </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2.4.3. Персональный повышающий коэффициент к минимальному окладу, минимальной ставке заработной платы устанавливается работникам с учетом сложности и важности выполняемой работы, степени самостоятельности и ответственности при выполнении поставленных задач и других факторов.</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Решение об установлении персонального повышающего коэффициента к минимальному окладу, минимальной ставке заработной платы и его размерах принимается руководителем персонально в отношении конкретного работника.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 персонального повышающего коэффициента - до 5.</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Персональный повышающий коэффициент к минимальному окладу, минимальной ставке заработной платы устанавливается на определенный период времени в течение соответствующего календарного года.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 Компенсационные выплаты.</w:t>
      </w:r>
    </w:p>
    <w:p>
      <w:pPr>
        <w:pStyle w:val="Normal"/>
        <w:ind w:left="0" w:right="0" w:firstLine="567"/>
        <w:jc w:val="both"/>
        <w:rPr>
          <w:rFonts w:ascii="Times New Roman" w:hAnsi="Times New Roman"/>
          <w:sz w:val="24"/>
          <w:szCs w:val="24"/>
        </w:rPr>
      </w:pPr>
      <w:bookmarkStart w:id="2" w:name="Par846"/>
      <w:bookmarkEnd w:id="2"/>
      <w:r>
        <w:rPr>
          <w:rFonts w:ascii="Times New Roman" w:hAnsi="Times New Roman"/>
          <w:sz w:val="24"/>
          <w:szCs w:val="24"/>
        </w:rPr>
        <w:t>2.5.1.</w:t>
      </w:r>
      <w:r>
        <w:rPr>
          <w:rFonts w:ascii="Times New Roman" w:hAnsi="Times New Roman"/>
          <w:color w:val="000000"/>
          <w:sz w:val="24"/>
          <w:szCs w:val="24"/>
        </w:rPr>
        <w:t xml:space="preserve"> В соответствии с </w:t>
      </w:r>
      <w:r>
        <w:rPr>
          <w:rFonts w:ascii="Times New Roman" w:hAnsi="Times New Roman"/>
          <w:sz w:val="24"/>
          <w:szCs w:val="24"/>
        </w:rPr>
        <w:t>распоряжением администрации Шарангского района от 17.10.2008 года №381 «Об утверждении перечня видов выплат компенсационного характера в муниципальных бюджетных, автономных и казенных учреждениях Шарангского муниципального района и разъяснения о порядке установления выплат компенсационного характера в муниципальных бюджетных, автономных и казенных учреждениях Шарангского муниципального района</w:t>
      </w:r>
      <w:r>
        <w:rPr>
          <w:rFonts w:ascii="Times New Roman" w:hAnsi="Times New Roman"/>
          <w:color w:val="000000"/>
          <w:sz w:val="24"/>
          <w:szCs w:val="24"/>
        </w:rPr>
        <w:t>» в</w:t>
      </w:r>
      <w:r>
        <w:rPr>
          <w:rFonts w:ascii="Times New Roman" w:hAnsi="Times New Roman"/>
          <w:sz w:val="24"/>
          <w:szCs w:val="24"/>
        </w:rPr>
        <w:t xml:space="preserve"> учреждениях устанавливается следующий перечень выплат компенсационного характера:</w:t>
      </w:r>
    </w:p>
    <w:p>
      <w:pPr>
        <w:pStyle w:val="Normal"/>
        <w:ind w:left="0" w:right="0" w:firstLine="567"/>
        <w:jc w:val="both"/>
        <w:rPr>
          <w:rFonts w:ascii="Times New Roman" w:hAnsi="Times New Roman"/>
          <w:sz w:val="24"/>
          <w:szCs w:val="24"/>
        </w:rPr>
      </w:pPr>
      <w:r>
        <w:rPr>
          <w:rFonts w:ascii="Times New Roman" w:hAnsi="Times New Roman"/>
          <w:sz w:val="24"/>
          <w:szCs w:val="24"/>
        </w:rPr>
        <w:t>- выплаты работникам, условия труда на рабочих местах которых по результатам специальной оценки условий труда отнесены к вредным и (или) опасным условиям труда;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процентная надбавка к должностному окладу (тарифной ставке) граждан, допущенных к государственной тайне на постоянной основе, в зависимости от степени секретности сведений, к которым они имеют доступ..</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2.5.2. Выплаты компенсационного характера устанавливаются к должностным окладам, ставкам заработной платы.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этом работодатели принимают меры по проведению специальной оценки условий труда рабочих мест с целью разработки и реализации программы действий по обеспечению безопасных условий и охраны труда.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2.5.3. 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перечнем выплат компенсационного характера согласно подпункту 2.5.1 пункта 2.5 настоящего Положения.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2.5.4. Выплаты компенсационного характера работникам, условия труда на рабочих местах которых по результатам специальной оценки условий труда отнесены к вредным и (или) опасным условиям, устанавливаются в соответствии со статьей 147 Трудового кодекса Российской Федерации.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2.5.5. Выплаты компенсационного характера за работу в условиях, отклоняющихся от нормальных, устанавливаются с учетом статей 149 - 154 Трудового кодекса Российской Федерации.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2.5.6.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 учреждениях каждый час работы в ночное время (в период с 22 часов до 6 часов) оплачивается в повышенном размере не ниже 20% от установленных работникам должностных окладов, ставок заработной платы.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2.5.7. Выплаты при выполнении работ различной квалификации.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выполнении работником с повременной оплатой труда работ различной квалификации его труд оплачивается по работе более высокой квалификации.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2.5.8. Доплаты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 доплаты устанавливается по соглашению сторон трудового договора с учетом содержания и (или) объема дополнительной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2.5.9. Оплата сверхурочной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2.5.10. Оплата труда в выходные и нерабочие праздничные дни.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Работа в выходной или нерабочий праздничный день оплачивается не менее чем в двойном размере:</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работникам, труд которых оплачивается по ставкам, - в размере не менее двойной ставки;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работникам, получающим должностной оклад, - в размере не менее одинарной дневной или часовой ставки (части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Конкретные размеры оплаты за работу в выходной или нерабочий праздничный день устанавливаются коллективным договором, локальным нормативным актом, принимаемым с учетом мнения представительного органа работников, трудовым договором.</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 Стимулирующие выплаты.</w:t>
      </w:r>
    </w:p>
    <w:p>
      <w:pPr>
        <w:pStyle w:val="Normal"/>
        <w:ind w:left="0" w:right="0" w:firstLine="567"/>
        <w:jc w:val="both"/>
        <w:rPr>
          <w:rFonts w:ascii="Times New Roman" w:hAnsi="Times New Roman"/>
          <w:sz w:val="24"/>
          <w:szCs w:val="24"/>
        </w:rPr>
      </w:pPr>
      <w:r>
        <w:rPr>
          <w:rFonts w:ascii="Times New Roman" w:hAnsi="Times New Roman"/>
          <w:sz w:val="24"/>
          <w:szCs w:val="24"/>
        </w:rPr>
        <w:t xml:space="preserve">2.6.1. </w:t>
      </w:r>
      <w:r>
        <w:rPr>
          <w:rFonts w:ascii="Times New Roman" w:hAnsi="Times New Roman"/>
          <w:color w:val="000000"/>
          <w:sz w:val="24"/>
          <w:szCs w:val="24"/>
        </w:rPr>
        <w:t xml:space="preserve">В соответствии с </w:t>
      </w:r>
      <w:r>
        <w:rPr>
          <w:rFonts w:ascii="Times New Roman" w:hAnsi="Times New Roman"/>
          <w:sz w:val="24"/>
          <w:szCs w:val="24"/>
        </w:rPr>
        <w:t>распоряжением от 17.10.2008г №382 «Об утверждении перечня видов выплат стимулирующего характера в муниципальных бюджетных, автономных и казенных учреждениях Шарангского муниципального района и разъяснения о порядке установления выплат стимулирующего характера в муниципальных бюджетных, автономных и казенных учреждениях Шарангского муниципального района» в учреждениях устанавливается следующий перечень выплат стимулирующего характера: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выплаты за интенсивность и высокие результаты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выплаты за качество выполняемых работ;</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за стаж непрерывной работы, выслугу лет;</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 премиальные выплаты по итогам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Выплаты стимулирующего характера, установленные в процентном отношении, применяются к минимальному окладу, минимальной ставке заработной платы по соответствующим профессиональным квалификационным группам.</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Применение какой-либо стимулирующей выплаты к минимальному окладу, минимальной ставке заработной платы не учитывается при начислении иных стимулирующих выплат.</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Размеры и условия осуществления выплат стимулирующего характера устанавливаются коллективными договорами, соглашениями, локальными нормативными актами, принимаемыми с учетом мнения представительного органа работников на основе показателей и критериев эффективности работы, измеряемых качественными и количественными показателями.</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Разработка показателей и критериев эффективности работы осуществляется с учетом следующих принципов:</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а) объективность – размер вознаграждения работника должен определяться на основе объективной оценки результатов его труда, а также за достижение коллективных результатов труда;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б) предсказуемость – работник должен знать, какое вознаграждение он получит в зависимости от результатов своего труда, а также за достижение коллективных результатов труда;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 адекватность – вознаграждение должно быть адекватно трудовому вкладу каждого работника в результат коллективного труда;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г) своевременность – вознаграждение должно следовать за достижением результатов;</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д) прозрачность – правила определения вознаграждения должны быть понятны каждому работнику.</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2.6.2. Выплаты за интенсивность и высокие результаты работы.</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2.6.2.1.Выплаты за интенсивность устанавливаются работникам учреждения, непосредственно участвующим в обеспечении высококачественного учебно-тренировочного процесса (таблица 5).</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5</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45" w:type="dxa"/>
        <w:jc w:val="left"/>
        <w:tblInd w:w="0" w:type="dxa"/>
        <w:tblCellMar>
          <w:top w:w="0" w:type="dxa"/>
          <w:left w:w="75" w:type="dxa"/>
          <w:bottom w:w="0" w:type="dxa"/>
          <w:right w:w="75" w:type="dxa"/>
        </w:tblCellMar>
      </w:tblPr>
      <w:tblGrid>
        <w:gridCol w:w="3240"/>
        <w:gridCol w:w="3360"/>
        <w:gridCol w:w="3045"/>
      </w:tblGrid>
      <w:tr>
        <w:trPr>
          <w:trHeight w:val="1260" w:hRule="atLeast"/>
        </w:trPr>
        <w:tc>
          <w:tcPr>
            <w:tcW w:w="324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Показатель</w:t>
            </w:r>
          </w:p>
        </w:tc>
        <w:tc>
          <w:tcPr>
            <w:tcW w:w="3360" w:type="dxa"/>
            <w:tcBorders>
              <w:top w:val="single" w:sz="4" w:space="0" w:color="000000"/>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Критерии</w:t>
            </w:r>
          </w:p>
        </w:tc>
        <w:tc>
          <w:tcPr>
            <w:tcW w:w="3045"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Размер </w:t>
              <w:br/>
              <w:t xml:space="preserve"> стимулирующей </w:t>
              <w:br/>
              <w:t xml:space="preserve"> выплаты в % от </w:t>
              <w:br/>
              <w:t xml:space="preserve"> минимального </w:t>
              <w:br/>
              <w:t xml:space="preserve"> оклада, минимальной</w:t>
              <w:br/>
              <w:t xml:space="preserve"> ставки заработной </w:t>
              <w:br/>
              <w:t xml:space="preserve"> платы</w:t>
            </w:r>
          </w:p>
        </w:tc>
      </w:tr>
      <w:tr>
        <w:trPr>
          <w:trHeight w:val="720" w:hRule="atLeast"/>
        </w:trPr>
        <w:tc>
          <w:tcPr>
            <w:tcW w:w="324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Выполнение программ </w:t>
              <w:br/>
              <w:t xml:space="preserve"> спортивной подготовки</w:t>
            </w:r>
          </w:p>
        </w:tc>
        <w:tc>
          <w:tcPr>
            <w:tcW w:w="336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Доля занимающихся, </w:t>
              <w:br/>
              <w:t xml:space="preserve"> успешно сдавших </w:t>
              <w:br/>
              <w:t xml:space="preserve"> контрольные переводные </w:t>
              <w:br/>
              <w:t xml:space="preserve"> нормативы</w:t>
            </w:r>
          </w:p>
        </w:tc>
        <w:tc>
          <w:tcPr>
            <w:tcW w:w="3045"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30</w:t>
            </w:r>
          </w:p>
        </w:tc>
      </w:tr>
      <w:tr>
        <w:trPr>
          <w:trHeight w:val="540" w:hRule="atLeast"/>
        </w:trPr>
        <w:tc>
          <w:tcPr>
            <w:tcW w:w="324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Качество спортивной </w:t>
              <w:br/>
              <w:t xml:space="preserve"> подготовки</w:t>
            </w:r>
          </w:p>
        </w:tc>
        <w:tc>
          <w:tcPr>
            <w:tcW w:w="3360" w:type="dxa"/>
            <w:tcBorders>
              <w:left w:val="single" w:sz="4" w:space="0" w:color="000000"/>
              <w:bottom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Доля занимающихся, </w:t>
              <w:br/>
              <w:t xml:space="preserve"> получивших спортивный </w:t>
              <w:br/>
              <w:t xml:space="preserve"> разряд</w:t>
            </w:r>
          </w:p>
        </w:tc>
        <w:tc>
          <w:tcPr>
            <w:tcW w:w="3045"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30</w:t>
            </w:r>
          </w:p>
        </w:tc>
      </w:tr>
    </w:tbl>
    <w:p>
      <w:pPr>
        <w:pStyle w:val="Normal"/>
        <w:widowControl w:val="false"/>
        <w:autoSpaceDE w:val="false"/>
        <w:rPr>
          <w:rFonts w:ascii="Times New Roman" w:hAnsi="Times New Roman"/>
          <w:sz w:val="24"/>
          <w:szCs w:val="24"/>
        </w:rPr>
      </w:pPr>
      <w:r>
        <w:rPr>
          <w:rFonts w:ascii="Times New Roman" w:hAnsi="Times New Roman"/>
          <w:sz w:val="24"/>
          <w:szCs w:val="24"/>
        </w:rPr>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Перечень специалистов, которым устанавливаются стимулирующие выплаты за интенсивность, определяется учреждением с учетом непосредственного вклада работника в достижение результатов.</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Выплаты за интенсивность носят разовый характер.</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2.6.2.2. Выплаты за высокие результаты работы устанавливаются тренерам, тренерам-преподавателям за подготовку спортсмена высокого класса при условии, что тренер, тренер-преподаватель отработал со спортсменом (учащимся) не менее двух лет (таблица 6).</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 выплаты тренеру, тренеру-преподавателю за подготовку спортсмена высокого класса устанавливается по наилучшему результату выступлений на соревнованиях на основании протоколов (выписки из протоколов) соревнований и действует либо с момента показанного спортсменом результата, либо с 1 числа месяца, следующего за месяцем проведения соревнований в течение одного календарного года, а по международным соревнованиям - до проведения следующих международных соревнований данного уровня.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Если в период действия установленной тренеру, тренеру-преподавателю выплаты за высокие результаты спортсмен улучшил спортивный результат, размер выплаты соответственно увеличивается и устанавливается новое исчисление срока ее действия.</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Если по истечении срока действия установленной выплаты спортсмен не показал указанного в таблице 6 результата, размер выплаты тренеру, тренеру-преподавателю устанавливается в соответствии с этапом подготовки спортсмена.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Для повышения эффективности работы по подготовке спортсменов, на основании решения руководителя и тренерского совета учреждения, осуществляющего спортивную подготовку, тренеры могут объединяться в коллектив (бригаду). При этом результаты, показанные спортсменами, считаются результатами работы коллектива (бригады) в целом. Трудовой вклад каждого тренера в результаты работы коллектива (бригады) определяется ежегодно решением руководителем учреждения, осуществляющего спортивную подготовку, по представлению тренерского совета.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Состав коллектива (бригады) тренеров и список спортсменов, подготавливаемых коллективом (бригадой), оформляется приказом руководителя учреждения, осуществляющего спортивную подготовку.</w:t>
      </w:r>
    </w:p>
    <w:p>
      <w:pPr>
        <w:pStyle w:val="Normal"/>
        <w:widowControl w:val="false"/>
        <w:autoSpaceDE w:val="false"/>
        <w:ind w:firstLine="540"/>
        <w:jc w:val="right"/>
        <w:rPr>
          <w:rFonts w:ascii="Times New Roman" w:hAnsi="Times New Roman"/>
          <w:sz w:val="24"/>
          <w:szCs w:val="24"/>
        </w:rPr>
      </w:pPr>
      <w:r>
        <w:rPr>
          <w:rFonts w:ascii="Times New Roman" w:hAnsi="Times New Roman"/>
          <w:sz w:val="24"/>
          <w:szCs w:val="24"/>
        </w:rPr>
        <w:t>Таблица 6</w:t>
      </w:r>
    </w:p>
    <w:tbl>
      <w:tblPr>
        <w:tblW w:w="9570" w:type="dxa"/>
        <w:jc w:val="left"/>
        <w:tblInd w:w="52" w:type="dxa"/>
        <w:tblCellMar>
          <w:top w:w="102" w:type="dxa"/>
          <w:left w:w="62" w:type="dxa"/>
          <w:bottom w:w="102" w:type="dxa"/>
          <w:right w:w="62" w:type="dxa"/>
        </w:tblCellMar>
      </w:tblPr>
      <w:tblGrid>
        <w:gridCol w:w="4335"/>
        <w:gridCol w:w="1710"/>
        <w:gridCol w:w="3525"/>
      </w:tblGrid>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Уровень соревнований</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tabs>
                <w:tab w:val="clear" w:pos="708"/>
                <w:tab w:val="left" w:pos="2625" w:leader="none"/>
              </w:tabs>
              <w:rPr>
                <w:rFonts w:ascii="Times New Roman" w:hAnsi="Times New Roman"/>
                <w:sz w:val="24"/>
                <w:szCs w:val="24"/>
              </w:rPr>
            </w:pPr>
            <w:r>
              <w:rPr>
                <w:rFonts w:ascii="Times New Roman" w:hAnsi="Times New Roman"/>
                <w:sz w:val="24"/>
                <w:szCs w:val="24"/>
              </w:rPr>
              <w:tab/>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Занятое место</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Размер выплаты в % от минимального оклада тренера, тренера-преподавателя за подготовку одного спортсмена высокого класса</w:t>
            </w:r>
          </w:p>
        </w:tc>
      </w:tr>
      <w:tr>
        <w:trPr/>
        <w:tc>
          <w:tcPr>
            <w:tcW w:w="9570" w:type="dxa"/>
            <w:gridSpan w:val="3"/>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В личных и командных видах спортивных дисциплин:</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1.1. Олимпийские, Паралимпийские, Сурдлимпийские игры - чемпионат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200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 Олимпийские, Паралимпийские, Сурдлимпийские игры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1.3. Чемпионат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120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России, первенство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1.4. Олимпийские, Паралимпийские игры, чемпионат мира</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участие</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 Европы</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Кубок России, первенство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официальные международные соревнования с участием сборной команды России (основной состав)</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1.5. Чемпионат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80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первенство России (молодежь, юниоры)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первенство России (старшие юноши)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первенство мира,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официальные международные соревнования с участием сборной команды России (основной состав)</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1.6. Финал Спартакиады молодежи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75</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Всероссийских соревнований среди спортивных школ</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1.7. Первенство России (молодежь, юниоры)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60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первенство России (старшие юноши)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Спартакиады молодежи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Спартакиады учащихся</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всероссийских соревнований среди спортивных школ</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 Первенство России (старшие юноши)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Спартакиады учащихся</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финал Всероссийских соревнований среди спортивных школ</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1.9. Зачисление в государственное училище олимпийского резерва</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1.10. Официальные всероссийские соревнования, включенные в Единый календарный план межрегиональных, всероссийских и международных физкультурных мероприятий и спортивных мероприятий (далее - ЕКП), в составе сборной команды субъекта Российской Федерации (далее - РФ)</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участие</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1.11. Чемпионат и первенство субъектов РФ (возраст - свыше 15 лет)</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sz w:val="24"/>
                <w:szCs w:val="24"/>
              </w:rPr>
            </w:pPr>
            <w:r>
              <w:rPr>
                <w:rFonts w:ascii="Times New Roman" w:hAnsi="Times New Roman"/>
                <w:sz w:val="24"/>
                <w:szCs w:val="24"/>
              </w:rPr>
              <w:t>1.12. За переход спортсмена на более высокий этап спортивной подготовки, в том числе в иную организацию, осуществляющую подготовку спортивного резерва для спортивных сборных команд Российской Федерации</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sz w:val="24"/>
                <w:szCs w:val="24"/>
              </w:rPr>
            </w:pPr>
            <w:r>
              <w:rPr>
                <w:rFonts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sz w:val="24"/>
                <w:szCs w:val="24"/>
              </w:rPr>
            </w:pPr>
            <w:r>
              <w:rPr>
                <w:rFonts w:ascii="Times New Roman" w:hAnsi="Times New Roman"/>
                <w:sz w:val="24"/>
                <w:szCs w:val="24"/>
              </w:rPr>
              <w:t>До 20</w:t>
            </w:r>
          </w:p>
        </w:tc>
      </w:tr>
      <w:tr>
        <w:trPr/>
        <w:tc>
          <w:tcPr>
            <w:tcW w:w="9570" w:type="dxa"/>
            <w:gridSpan w:val="3"/>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В командных игровых видах:</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2.1. Олимпийские, Паралимпийские</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200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чемпионаты мира,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2.2. Олимпийские, Паралимпийские</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чемпионаты мира, Европы</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2.3. Официальные международные соревнования, включенные в ЕКП, с участием сборной команды России (основной состав)</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120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2.4. За подготовку команды, занявшей</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на чемпионате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на первенстве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1 - 2</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в финале Спартакиады учащихся, всероссийских соревнованиях среди спортивных школ</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2.5. За подготовку команды, занявшей:</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на чемпионате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4 - 6</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на первенстве России</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3 - 4</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в финале Спартакиады учащихся всероссийских соревнованиях среди спортивных школ</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2 - 3</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на чемпионатах и первенствах субъектов РФ (в возрастной категории свыше 15 лет)</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1 - 2</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2.6. Зачисление в государственное училище олимпийского резерва</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2.7. Участие в составе сборной команды России в официальных международных соревнованиях</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основной состав сборной РФ</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молодежный состав сборной РФ</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75</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юношеский состав сборной РФ</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2.8. Зачисление учащихся и выпускников школы в команды мастеров</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I лиги</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высшей лиги</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75</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суперлиги</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100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2.9. Официальные всероссийские соревнования, включенные в ЕКП, в составе сборной команды субъекта РФ</w:t>
            </w:r>
          </w:p>
        </w:tc>
        <w:tc>
          <w:tcPr>
            <w:tcW w:w="171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участие</w:t>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50</w:t>
            </w:r>
          </w:p>
        </w:tc>
      </w:tr>
      <w:tr>
        <w:trPr/>
        <w:tc>
          <w:tcPr>
            <w:tcW w:w="43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2.10. За переход спортсмена на более высокий этап спортивной подготовки, в том числе в иную организацию, осуществляющую подготовку спортивного резерва для спортивных сборных команд Российской Федерации</w:t>
            </w:r>
          </w:p>
        </w:tc>
        <w:tc>
          <w:tcPr>
            <w:tcW w:w="1710" w:type="dxa"/>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3525"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До 20</w:t>
            </w:r>
          </w:p>
        </w:tc>
      </w:tr>
    </w:tbl>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2.6.2.3. Выплаты за интенсивность и высокие результаты работы тренеров, тренеров-преподавателей и специалистов устанавливаются в процентах к минимальному окладу, минимальной ставке заработной платы либо в абсолютном размере.</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Руководителям учреждений, имеющих в оперативном управлении спортивные и иные сооружения (общежития, столовые и другие), по решению учредителя устанавливается выплата в размере до 20 процентов от должностного оклада на календарный год.</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2.6.3. Стимулирующие выплаты за качество выполняемых работ устанавливаются сотрудникам, имеющим почетные звания, государственные награды, а также награжденным отраслевыми почетными и нагрудными знаками и медалями. Выплаты производятся при условии соответствия званий, наград, знаков отличия профилю учреждения и деятельности самого работника.</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При наличии нескольких оснований для установления стимулирующей выплаты за качество выполняемых работ выплата определяется по одному (наивысшему) основанию.</w:t>
      </w:r>
    </w:p>
    <w:p>
      <w:pPr>
        <w:pStyle w:val="Normal"/>
        <w:widowControl w:val="false"/>
        <w:autoSpaceDE w:val="false"/>
        <w:ind w:left="0" w:right="0" w:firstLine="567"/>
        <w:jc w:val="both"/>
        <w:rPr>
          <w:rFonts w:ascii="Times New Roman" w:hAnsi="Times New Roman"/>
          <w:sz w:val="24"/>
          <w:szCs w:val="24"/>
        </w:rPr>
      </w:pPr>
      <w:r>
        <w:rPr>
          <w:rFonts w:ascii="Times New Roman" w:hAnsi="Times New Roman"/>
          <w:sz w:val="24"/>
          <w:szCs w:val="24"/>
        </w:rPr>
        <w:t>Размеры выплат за качество выполняемых работ приведены в таблице 7.</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7</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45" w:type="dxa"/>
        <w:jc w:val="left"/>
        <w:tblInd w:w="0" w:type="dxa"/>
        <w:tblCellMar>
          <w:top w:w="0" w:type="dxa"/>
          <w:left w:w="75" w:type="dxa"/>
          <w:bottom w:w="0" w:type="dxa"/>
          <w:right w:w="75" w:type="dxa"/>
        </w:tblCellMar>
      </w:tblPr>
      <w:tblGrid>
        <w:gridCol w:w="7545"/>
        <w:gridCol w:w="2100"/>
      </w:tblGrid>
      <w:tr>
        <w:trPr>
          <w:trHeight w:val="1080" w:hRule="atLeast"/>
        </w:trPr>
        <w:tc>
          <w:tcPr>
            <w:tcW w:w="7545" w:type="dxa"/>
            <w:tcBorders>
              <w:top w:val="single" w:sz="4" w:space="0" w:color="000000"/>
              <w:left w:val="single" w:sz="4" w:space="0" w:color="000000"/>
              <w:bottom w:val="single" w:sz="4" w:space="0" w:color="000000"/>
            </w:tcBorders>
            <w:shd w:fill="auto" w:val="clear"/>
          </w:tcPr>
          <w:p>
            <w:pPr>
              <w:pStyle w:val="ConsPlusCell"/>
              <w:snapToGrid w:val="false"/>
              <w:rPr>
                <w:rFonts w:ascii="Times New Roman" w:hAnsi="Times New Roman" w:cs="Times New Roman"/>
                <w:sz w:val="24"/>
                <w:szCs w:val="24"/>
              </w:rPr>
            </w:pPr>
            <w:r>
              <w:rPr>
                <w:rFonts w:cs="Times New Roman" w:ascii="Times New Roman" w:hAnsi="Times New Roman"/>
                <w:sz w:val="24"/>
                <w:szCs w:val="24"/>
              </w:rPr>
            </w:r>
          </w:p>
        </w:tc>
        <w:tc>
          <w:tcPr>
            <w:tcW w:w="2100" w:type="dxa"/>
            <w:tcBorders>
              <w:top w:val="single" w:sz="4" w:space="0" w:color="000000"/>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Размеры выплаты в  процентах к  минимальному окладу, минимальной ставке  заработной платы</w:t>
            </w:r>
          </w:p>
        </w:tc>
      </w:tr>
      <w:tr>
        <w:trPr>
          <w:trHeight w:val="1800" w:hRule="atLeast"/>
        </w:trPr>
        <w:tc>
          <w:tcPr>
            <w:tcW w:w="7545" w:type="dxa"/>
            <w:tcBorders>
              <w:left w:val="single" w:sz="4" w:space="0" w:color="000000"/>
              <w:bottom w:val="single" w:sz="4" w:space="0" w:color="000000"/>
            </w:tcBorders>
            <w:shd w:fill="auto" w:val="clear"/>
          </w:tcPr>
          <w:p>
            <w:pPr>
              <w:pStyle w:val="ConsPlusCell"/>
              <w:ind w:firstLine="351"/>
              <w:rPr>
                <w:rFonts w:ascii="Times New Roman" w:hAnsi="Times New Roman"/>
                <w:sz w:val="24"/>
                <w:szCs w:val="24"/>
              </w:rPr>
            </w:pPr>
            <w:r>
              <w:rPr>
                <w:rFonts w:cs="Times New Roman" w:ascii="Times New Roman" w:hAnsi="Times New Roman"/>
                <w:sz w:val="24"/>
                <w:szCs w:val="24"/>
              </w:rPr>
              <w:t xml:space="preserve">За почетное звание "Заслуженный работник физической культуры Российской Федерации" За государственные награды, включая почетные звания Российской Федерации и СССР За почетные спортивные звания "Заслуженный тренер России", "Заслуженный тренер СССР", "Заслуженный мастер спорта России", "Заслуженный мастер спорта СССР" За почетный знак "За заслуги в развитии физической культуры и спорта" </w:t>
            </w:r>
          </w:p>
        </w:tc>
        <w:tc>
          <w:tcPr>
            <w:tcW w:w="2100"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100%</w:t>
            </w:r>
          </w:p>
        </w:tc>
      </w:tr>
      <w:tr>
        <w:trPr>
          <w:trHeight w:val="900" w:hRule="atLeast"/>
        </w:trPr>
        <w:tc>
          <w:tcPr>
            <w:tcW w:w="7545" w:type="dxa"/>
            <w:tcBorders>
              <w:left w:val="single" w:sz="4" w:space="0" w:color="000000"/>
              <w:bottom w:val="single" w:sz="4" w:space="0" w:color="000000"/>
            </w:tcBorders>
            <w:shd w:fill="auto" w:val="clear"/>
          </w:tcPr>
          <w:p>
            <w:pPr>
              <w:pStyle w:val="ConsPlusCell"/>
              <w:ind w:firstLine="351"/>
              <w:rPr>
                <w:rFonts w:ascii="Times New Roman" w:hAnsi="Times New Roman"/>
                <w:sz w:val="24"/>
                <w:szCs w:val="24"/>
              </w:rPr>
            </w:pPr>
            <w:r>
              <w:rPr>
                <w:rFonts w:cs="Times New Roman" w:ascii="Times New Roman" w:hAnsi="Times New Roman"/>
                <w:sz w:val="24"/>
                <w:szCs w:val="24"/>
              </w:rPr>
              <w:t xml:space="preserve">За ведомственные награды За спортивные звания "Мастер спорта России международного класса", "Гроссмейстер России", "Мастер спорта СССР международного класса", "Гроссмейстер СССР", "Мастер спорта России", "Мастер спорта СССР" </w:t>
            </w:r>
          </w:p>
        </w:tc>
        <w:tc>
          <w:tcPr>
            <w:tcW w:w="2100" w:type="dxa"/>
            <w:tcBorders>
              <w:left w:val="single" w:sz="4" w:space="0" w:color="000000"/>
              <w:bottom w:val="single" w:sz="4" w:space="0" w:color="000000"/>
              <w:right w:val="single" w:sz="4" w:space="0" w:color="000000"/>
            </w:tcBorders>
            <w:shd w:fill="auto" w:val="clear"/>
            <w:vAlign w:val="cente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40%</w:t>
            </w:r>
          </w:p>
        </w:tc>
      </w:tr>
    </w:tbl>
    <w:p>
      <w:pPr>
        <w:pStyle w:val="Normal"/>
        <w:widowControl w:val="false"/>
        <w:autoSpaceDE w:val="false"/>
        <w:rPr>
          <w:rFonts w:ascii="Times New Roman" w:hAnsi="Times New Roman"/>
          <w:sz w:val="24"/>
          <w:szCs w:val="24"/>
        </w:rPr>
      </w:pPr>
      <w:r>
        <w:rPr>
          <w:rFonts w:ascii="Times New Roman" w:hAnsi="Times New Roman"/>
          <w:sz w:val="24"/>
          <w:szCs w:val="24"/>
        </w:rPr>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Устанавливаются стимулирующие выплаты за качество выполняемых работ за наличие ученой степени. Размеры выплат приведены в таблице 8.</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8</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45" w:type="dxa"/>
        <w:jc w:val="left"/>
        <w:tblInd w:w="0" w:type="dxa"/>
        <w:tblCellMar>
          <w:top w:w="0" w:type="dxa"/>
          <w:left w:w="75" w:type="dxa"/>
          <w:bottom w:w="0" w:type="dxa"/>
          <w:right w:w="75" w:type="dxa"/>
        </w:tblCellMar>
      </w:tblPr>
      <w:tblGrid>
        <w:gridCol w:w="7590"/>
        <w:gridCol w:w="2055"/>
      </w:tblGrid>
      <w:tr>
        <w:trPr>
          <w:trHeight w:val="360" w:hRule="atLeast"/>
        </w:trPr>
        <w:tc>
          <w:tcPr>
            <w:tcW w:w="7590" w:type="dxa"/>
            <w:tcBorders>
              <w:top w:val="single" w:sz="4" w:space="0" w:color="000000"/>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Кандидатам наук по профилю деятельности (преподаваемых дисциплин) </w:t>
            </w:r>
          </w:p>
        </w:tc>
        <w:tc>
          <w:tcPr>
            <w:tcW w:w="2055" w:type="dxa"/>
            <w:tcBorders>
              <w:top w:val="single" w:sz="4" w:space="0" w:color="000000"/>
              <w:left w:val="single" w:sz="4" w:space="0" w:color="000000"/>
              <w:bottom w:val="single" w:sz="4" w:space="0" w:color="000000"/>
              <w:right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до 20% </w:t>
            </w:r>
          </w:p>
        </w:tc>
      </w:tr>
      <w:tr>
        <w:trPr>
          <w:trHeight w:val="360" w:hRule="atLeast"/>
        </w:trPr>
        <w:tc>
          <w:tcPr>
            <w:tcW w:w="759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Докторам наук по профилю деятельности (преподаваемых дисциплин) </w:t>
            </w:r>
          </w:p>
        </w:tc>
        <w:tc>
          <w:tcPr>
            <w:tcW w:w="2055" w:type="dxa"/>
            <w:tcBorders>
              <w:left w:val="single" w:sz="4" w:space="0" w:color="000000"/>
              <w:bottom w:val="single" w:sz="4" w:space="0" w:color="000000"/>
              <w:right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до 50% </w:t>
            </w:r>
          </w:p>
        </w:tc>
      </w:tr>
    </w:tbl>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2.6.4. Стимулирующая выплата за стаж непрерывной работы, выслугу лет устанавливается в целях укрепления кадрового состава учреждений.</w:t>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Выплаты за стаж непрерывной работы, выслугу лет производятся работникам в процентах от минимального оклада, минимальной ставки заработной платы в зависимости от общего количества лет, проработанных в физкультурно-спортивных организациях и организациях и (или) образовательных организациях, осуществляющих деятельность в области физической культуры и спорта, либо от стажа руководящей работы – для должностей категории «руководители» (руководитель учреждения, заместители руководителя, главный бухгалтер, главный инженер), стажа работы по специальности – для должностей категории работников физической культуры и спорта и работников образования.</w:t>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Размеры стимулирующих выплат за стаж непрерывной работы, выслугу лет в процентах от минимального оклада, минимальной ставки заработной платы приведены в таблице 9.</w:t>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t>Таблица 9</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tbl>
      <w:tblPr>
        <w:tblW w:w="9645" w:type="dxa"/>
        <w:jc w:val="left"/>
        <w:tblInd w:w="0" w:type="dxa"/>
        <w:tblCellMar>
          <w:top w:w="0" w:type="dxa"/>
          <w:left w:w="75" w:type="dxa"/>
          <w:bottom w:w="0" w:type="dxa"/>
          <w:right w:w="75" w:type="dxa"/>
        </w:tblCellMar>
      </w:tblPr>
      <w:tblGrid>
        <w:gridCol w:w="4320"/>
        <w:gridCol w:w="5325"/>
      </w:tblGrid>
      <w:tr>
        <w:trPr>
          <w:trHeight w:val="540" w:hRule="atLeast"/>
        </w:trPr>
        <w:tc>
          <w:tcPr>
            <w:tcW w:w="4320" w:type="dxa"/>
            <w:tcBorders>
              <w:top w:val="single" w:sz="4" w:space="0" w:color="000000"/>
              <w:left w:val="single" w:sz="4" w:space="0" w:color="000000"/>
              <w:bottom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Стаж непрерывной работы,</w:t>
            </w:r>
          </w:p>
          <w:p>
            <w:pPr>
              <w:pStyle w:val="ConsPlusCell"/>
              <w:jc w:val="center"/>
              <w:rPr>
                <w:rFonts w:ascii="Times New Roman" w:hAnsi="Times New Roman"/>
                <w:sz w:val="24"/>
                <w:szCs w:val="24"/>
              </w:rPr>
            </w:pPr>
            <w:r>
              <w:rPr>
                <w:rFonts w:cs="Times New Roman" w:ascii="Times New Roman" w:hAnsi="Times New Roman"/>
                <w:sz w:val="24"/>
                <w:szCs w:val="24"/>
              </w:rPr>
              <w:t>выслуга лет</w:t>
            </w:r>
          </w:p>
        </w:tc>
        <w:tc>
          <w:tcPr>
            <w:tcW w:w="5325" w:type="dxa"/>
            <w:tcBorders>
              <w:top w:val="single" w:sz="4" w:space="0" w:color="000000"/>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 xml:space="preserve">Размеры стимулирующей выплаты в </w:t>
              <w:br/>
              <w:t xml:space="preserve"> процентах к минимальному окладу, </w:t>
              <w:br/>
              <w:t xml:space="preserve"> минимальной ставке заработной платы</w:t>
            </w:r>
          </w:p>
        </w:tc>
      </w:tr>
      <w:tr>
        <w:trPr/>
        <w:tc>
          <w:tcPr>
            <w:tcW w:w="432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от 3 до 5 лет </w:t>
            </w:r>
          </w:p>
        </w:tc>
        <w:tc>
          <w:tcPr>
            <w:tcW w:w="5325"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5</w:t>
            </w:r>
          </w:p>
        </w:tc>
      </w:tr>
      <w:tr>
        <w:trPr/>
        <w:tc>
          <w:tcPr>
            <w:tcW w:w="432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от 5 до 10 лет </w:t>
            </w:r>
          </w:p>
        </w:tc>
        <w:tc>
          <w:tcPr>
            <w:tcW w:w="5325"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10</w:t>
            </w:r>
          </w:p>
        </w:tc>
      </w:tr>
      <w:tr>
        <w:trPr/>
        <w:tc>
          <w:tcPr>
            <w:tcW w:w="432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от 10 до 15 лет </w:t>
            </w:r>
          </w:p>
        </w:tc>
        <w:tc>
          <w:tcPr>
            <w:tcW w:w="5325"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15</w:t>
            </w:r>
          </w:p>
        </w:tc>
      </w:tr>
      <w:tr>
        <w:trPr/>
        <w:tc>
          <w:tcPr>
            <w:tcW w:w="4320" w:type="dxa"/>
            <w:tcBorders>
              <w:left w:val="single" w:sz="4" w:space="0" w:color="000000"/>
              <w:bottom w:val="single" w:sz="4" w:space="0" w:color="000000"/>
            </w:tcBorders>
            <w:shd w:fill="auto" w:val="clear"/>
          </w:tcPr>
          <w:p>
            <w:pPr>
              <w:pStyle w:val="ConsPlusCell"/>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свыше 15 лет </w:t>
            </w:r>
          </w:p>
        </w:tc>
        <w:tc>
          <w:tcPr>
            <w:tcW w:w="5325" w:type="dxa"/>
            <w:tcBorders>
              <w:left w:val="single" w:sz="4" w:space="0" w:color="000000"/>
              <w:bottom w:val="single" w:sz="4" w:space="0" w:color="000000"/>
              <w:right w:val="single" w:sz="4" w:space="0" w:color="000000"/>
            </w:tcBorders>
            <w:shd w:fill="auto" w:val="clear"/>
          </w:tcPr>
          <w:p>
            <w:pPr>
              <w:pStyle w:val="ConsPlusCell"/>
              <w:jc w:val="center"/>
              <w:rPr>
                <w:rFonts w:ascii="Times New Roman" w:hAnsi="Times New Roman" w:cs="Times New Roman"/>
                <w:sz w:val="24"/>
                <w:szCs w:val="24"/>
              </w:rPr>
            </w:pPr>
            <w:r>
              <w:rPr>
                <w:rFonts w:cs="Times New Roman" w:ascii="Times New Roman" w:hAnsi="Times New Roman"/>
                <w:sz w:val="24"/>
                <w:szCs w:val="24"/>
              </w:rPr>
              <w:t>до 20</w:t>
            </w:r>
          </w:p>
        </w:tc>
      </w:tr>
    </w:tbl>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В целях привлечения и укрепления кадрового тренерско-преподавательского состава устанавливаются стимулирующие выплаты в размере до 30% от минимального оклада, минимальной ставки заработной платы молодым специалистам (тренерам, тренерам-преподавателям, инструкторам-методистам в возрасте до 30 лет) в течение первых 4 лет работы, если они получили впервые высшее или среднее профессиональное образование, соответствующее должности, независимо от формы получения образования, и приступили к работе по специальности не позднее 3 месяцев после получения соответствующего диплома государственного образца.</w:t>
      </w:r>
    </w:p>
    <w:p>
      <w:pPr>
        <w:pStyle w:val="Normal"/>
        <w:widowControl w:val="false"/>
        <w:autoSpaceDE w:val="false"/>
        <w:ind w:firstLine="540"/>
        <w:jc w:val="both"/>
        <w:rPr>
          <w:rFonts w:ascii="Times New Roman" w:hAnsi="Times New Roman"/>
          <w:sz w:val="24"/>
          <w:szCs w:val="24"/>
        </w:rPr>
      </w:pPr>
      <w:r>
        <w:rPr>
          <w:rFonts w:ascii="Times New Roman" w:hAnsi="Times New Roman"/>
          <w:sz w:val="24"/>
          <w:szCs w:val="24"/>
        </w:rPr>
        <w:t>Отдельным работникам учреждений (руководителям, тренерам-преподавателям, инструкторам-методистам, спортсменам-инструкторам, а также специалистам, относящимся к ПКГ общеотраслевых должностей руководителей, специалистов и служащих) устанавливаются выплаты к минимальным окладам, минимальным ставкам заработной платы за участие в подготовке спортсмена высокого класса согласно таблице 10.</w:t>
      </w:r>
    </w:p>
    <w:p>
      <w:pPr>
        <w:pStyle w:val="Normal"/>
        <w:widowControl w:val="false"/>
        <w:autoSpaceDE w:val="false"/>
        <w:jc w:val="right"/>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jc w:val="right"/>
        <w:outlineLvl w:val="2"/>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jc w:val="right"/>
        <w:outlineLvl w:val="2"/>
        <w:rPr>
          <w:rFonts w:ascii="Times New Roman" w:hAnsi="Times New Roman"/>
          <w:sz w:val="24"/>
          <w:szCs w:val="24"/>
        </w:rPr>
      </w:pPr>
      <w:bookmarkStart w:id="3" w:name="Par981"/>
      <w:bookmarkEnd w:id="3"/>
      <w:r>
        <w:rPr>
          <w:rFonts w:ascii="Times New Roman" w:hAnsi="Times New Roman"/>
          <w:sz w:val="24"/>
          <w:szCs w:val="24"/>
        </w:rPr>
        <w:t>Таблица 10</w:t>
      </w:r>
    </w:p>
    <w:p>
      <w:pPr>
        <w:pStyle w:val="Normal"/>
        <w:numPr>
          <w:ilvl w:val="0"/>
          <w:numId w:val="0"/>
        </w:numPr>
        <w:autoSpaceDE w:val="false"/>
        <w:jc w:val="right"/>
        <w:outlineLvl w:val="0"/>
        <w:rPr>
          <w:rFonts w:ascii="Times New Roman" w:hAnsi="Times New Roman" w:cs="Courier New"/>
          <w:sz w:val="24"/>
          <w:szCs w:val="24"/>
        </w:rPr>
      </w:pPr>
      <w:r>
        <w:rPr>
          <w:rFonts w:cs="Courier New" w:ascii="Times New Roman" w:hAnsi="Times New Roman"/>
          <w:sz w:val="24"/>
          <w:szCs w:val="24"/>
        </w:rPr>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 xml:space="preserve">│                                        │ </w:t>
      </w:r>
      <w:r>
        <w:rPr>
          <w:rFonts w:cs="Courier New" w:ascii="Courier New" w:hAnsi="Courier New"/>
          <w:sz w:val="18"/>
          <w:szCs w:val="18"/>
        </w:rPr>
        <w:t>Занятое │   Размер выплаты в % к   │</w:t>
      </w:r>
    </w:p>
    <w:p>
      <w:pPr>
        <w:pStyle w:val="Normal"/>
        <w:bidi w:val="0"/>
        <w:ind w:left="0" w:right="0" w:hanging="0"/>
        <w:rPr/>
      </w:pPr>
      <w:r>
        <w:rPr>
          <w:rFonts w:cs="Courier New" w:ascii="Courier New" w:hAnsi="Courier New"/>
          <w:sz w:val="18"/>
          <w:szCs w:val="18"/>
        </w:rPr>
        <w:t xml:space="preserve">│                                        │  </w:t>
      </w:r>
      <w:r>
        <w:rPr>
          <w:rFonts w:cs="Courier New" w:ascii="Courier New" w:hAnsi="Courier New"/>
          <w:sz w:val="18"/>
          <w:szCs w:val="18"/>
        </w:rPr>
        <w:t>место  │   минимальному окладу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(минимальной ставке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заработной платы)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работника за участие в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подготовке одного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спортсмена        │</w:t>
      </w:r>
    </w:p>
    <w:p>
      <w:pPr>
        <w:pStyle w:val="Normal"/>
        <w:bidi w:val="0"/>
        <w:ind w:left="0" w:right="0" w:hanging="0"/>
        <w:rPr/>
      </w:pPr>
      <w:r>
        <w:rPr>
          <w:rFonts w:cs="Courier New" w:ascii="Courier New" w:hAnsi="Courier New"/>
          <w:sz w:val="18"/>
          <w:szCs w:val="18"/>
        </w:rPr>
        <w:t>│                                        │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Постоянный │ Переменный  │</w:t>
      </w:r>
    </w:p>
    <w:p>
      <w:pPr>
        <w:pStyle w:val="Normal"/>
        <w:bidi w:val="0"/>
        <w:ind w:left="0" w:right="0" w:hanging="0"/>
        <w:rPr/>
      </w:pPr>
      <w:r>
        <w:rPr>
          <w:rFonts w:cs="Courier New" w:ascii="Courier New" w:hAnsi="Courier New"/>
          <w:sz w:val="18"/>
          <w:szCs w:val="18"/>
        </w:rPr>
        <w:t xml:space="preserve">│                                        │         │   </w:t>
      </w:r>
      <w:r>
        <w:rPr>
          <w:rFonts w:cs="Courier New" w:ascii="Courier New" w:hAnsi="Courier New"/>
          <w:sz w:val="18"/>
          <w:szCs w:val="18"/>
        </w:rPr>
        <w:t>состав   │   состав    │</w:t>
      </w:r>
    </w:p>
    <w:p>
      <w:pPr>
        <w:pStyle w:val="Normal"/>
        <w:bidi w:val="0"/>
        <w:ind w:left="0" w:right="0" w:hanging="0"/>
        <w:rPr/>
      </w:pPr>
      <w:r>
        <w:rPr>
          <w:rFonts w:cs="Courier New" w:ascii="Courier New" w:hAnsi="Courier New"/>
          <w:sz w:val="18"/>
          <w:szCs w:val="18"/>
        </w:rPr>
        <w:t>│                                        │         │</w:t>
      </w:r>
      <w:r>
        <w:rPr>
          <w:rFonts w:cs="Courier New" w:ascii="Courier New" w:hAnsi="Courier New"/>
          <w:sz w:val="18"/>
          <w:szCs w:val="18"/>
        </w:rPr>
        <w:t>обучающихся │ обучающихся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 В личных и командных видах спортивных дисциплин: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1.1.    Олимпийские,     Паралимпийские,│    1    │   До 15    │    До 7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Сурдлимпийские игры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мира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1.2.    Олимпийские,     Паралимпийские,│  2 - 6  │   До 10    │    До 5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xml:space="preserve">Сурдлимпийские игры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мира                        │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Европы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мира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Европы                          │    1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1.3. Чемпионат мира                     │  4 - 6  │   До 10    │    До 5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Европы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мира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Европы                          │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России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России                          │    1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1.4. Олимпийские,  Паралимпийские  игры,│ участие │    До 8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чемпионат мира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 Европы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Кубок Европы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xml:space="preserve">- Кубок России                          │  2 - 3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официальные международные соревнования│   1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  участием   сборной   команды   России│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(основной состав)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1.5. Чемпионат России                   │  4 - 6  │    До 8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первенство России (молодежь, юниоры)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первенство России (старшие юноши)     │    1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первенство мира, Европы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официальные международные соревнования│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  участием   сборной   команды   России│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(основной состав)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1.6. Финал Спартакиады молодежи         │  1 - 3  │    До 8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Всероссийских соревнований среди│    1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спортивных школ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1.7.   Первенство   России    (молодежь,│  4 - 6  │    До 5    │    До 2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юниоры)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первенство России (старшие юноши)     │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Спартакиады молодежи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Спартакиады учащихся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Всероссийских соревнований среди│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спортивных школ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1.8. Первенство России (старшие юноши)  │  4 - 6  │    До 5    │    До 2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Спартакиады учащихся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финал Всероссийских соревнований среди│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спортивных школ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1.9.   Зачисление   в    государственное│         │    До 5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училище олимпийского резерва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1.10.     Официальные      всероссийские│ участие │    До 3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соревнования,   включенные   в    Единый│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календарный    план     межрегиональных,│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всероссийских      и       международных│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физкультурных мероприятий  и  спортивных│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мероприятий (далее  -  ЕКП),  в  составе│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сборной  команды   субъекта   Российской│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Федерации (далее - РФ)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1.11. Чемпионат и  первенство  субъектов│  1 - 6  │    До 3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РФ (возраст - свыше 15 лет)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 В командных игровых видах: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2.1. Олимпийские, Паралимпийские        │    1    │   До 15    │    До 7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чемпионаты мира, Европы               │    1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2.2. Олимпийские, Паралимпийские        │  2 - 6  │   До 10    │    До 5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чемпионаты мира, Европы               │  2 - 3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2.3.      Официальные      международные│  1 - 3  │   До 10    │    До 5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соревнования,  включенные   в   ЕКП,   с│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участием    сборной    команды    России│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(основной состав)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2.4. За подготовку команды, занявшей    │         │    До 8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на чемпионате России                  │  1 - 3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на первенстве России                  │  1 - 2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в   финале   Спартакиады   учащихся,│    1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всероссийских    соревнованиях     среди│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спортивных школ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2.5. За подготовку команды, занявшей:   │         │    До 5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на чемпионате России                  │  4 - 6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на первенстве России                  │  3 - 4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в   финале   Спартакиады   учащихся,│  2 - 3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всероссийских    соревнованиях     среди│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спортивных школ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на чемпионатах и первенствах субъектов│  1 - 2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РФ (в возрастной категории свыше 15 лет)│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2.6.   Зачисление   в    государственное│         │    До 5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училище олимпийского резерва            │         │            │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2.7. Участие в составе  сборной  команды│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России   в   официальных   международных│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соревнованиях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основной состав сборной РФ            │         │    До 8    │    До 5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молодежный состав сборной РФ          │         │    До 8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юношеский состав сборной РФ           │         │    До 5    │    До 1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2.8. Зачисление учащихся  и  выпускников│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школы в команды мастеров                │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- 1 лиги                                │         │    До 5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высшей лиги                           │         │    До 5    │    До 3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 суперлиги                             │         │    До 8    │    До 5     │</w:t>
      </w:r>
    </w:p>
    <w:p>
      <w:pPr>
        <w:pStyle w:val="Normal"/>
        <w:bidi w:val="0"/>
        <w:ind w:left="0" w:right="0" w:hanging="0"/>
        <w:rPr/>
      </w:pPr>
      <w:r>
        <w:rPr>
          <w:rFonts w:cs="Courier New" w:ascii="Courier New" w:hAnsi="Courier New"/>
          <w:sz w:val="18"/>
          <w:szCs w:val="18"/>
        </w:rPr>
        <w:t>├────────────────────────────────────────┼─────────┼────────────┼─────────────┤</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2.9.      Официальные      всероссийские│ участие │    До 3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соревнования,  включенные   в   ЕКП,   в│         │            │             │</w:t>
      </w:r>
    </w:p>
    <w:p>
      <w:pPr>
        <w:pStyle w:val="Normal"/>
        <w:bidi w:val="0"/>
        <w:ind w:left="0" w:right="0" w:hanging="0"/>
        <w:rPr/>
      </w:pPr>
      <w:r>
        <w:rPr>
          <w:rFonts w:cs="Courier New" w:ascii="Courier New" w:hAnsi="Courier New"/>
          <w:sz w:val="18"/>
          <w:szCs w:val="18"/>
        </w:rPr>
        <w:t>│</w:t>
      </w:r>
      <w:r>
        <w:rPr>
          <w:rFonts w:cs="Courier New" w:ascii="Courier New" w:hAnsi="Courier New"/>
          <w:sz w:val="18"/>
          <w:szCs w:val="18"/>
        </w:rPr>
        <w:t>составе сборной команды субъекта РФ     │         │            │             │</w:t>
      </w:r>
    </w:p>
    <w:p>
      <w:pPr>
        <w:pStyle w:val="Normal"/>
        <w:bidi w:val="0"/>
        <w:ind w:left="0" w:right="0" w:hanging="0"/>
        <w:rPr/>
      </w:pPr>
      <w:r>
        <w:rPr>
          <w:rFonts w:cs="Courier New" w:ascii="Courier New" w:hAnsi="Courier New"/>
          <w:sz w:val="18"/>
          <w:szCs w:val="18"/>
        </w:rPr>
        <w:t>└────────────────────────────────────────┴─────────┴────────────┴─────────────┘</w:t>
      </w:r>
    </w:p>
    <w:p>
      <w:pPr>
        <w:pStyle w:val="Normal"/>
        <w:widowControl w:val="false"/>
        <w:bidi w:val="0"/>
        <w:ind w:left="0" w:right="0" w:hanging="0"/>
        <w:rPr>
          <w:rFonts w:ascii="Times New Roman" w:hAnsi="Times New Roman"/>
          <w:sz w:val="24"/>
          <w:szCs w:val="24"/>
        </w:rPr>
      </w:pPr>
      <w:r>
        <w:rPr>
          <w:sz w:val="24"/>
          <w:szCs w:val="24"/>
        </w:rPr>
      </w:r>
    </w:p>
    <w:p>
      <w:pPr>
        <w:pStyle w:val="Normal"/>
        <w:numPr>
          <w:ilvl w:val="0"/>
          <w:numId w:val="0"/>
        </w:numPr>
        <w:autoSpaceDE w:val="false"/>
        <w:jc w:val="right"/>
        <w:outlineLvl w:val="0"/>
        <w:rPr>
          <w:rFonts w:ascii="Times New Roman" w:hAnsi="Times New Roman" w:cs="Courier New"/>
          <w:sz w:val="24"/>
          <w:szCs w:val="24"/>
        </w:rPr>
      </w:pPr>
      <w:r>
        <w:rPr>
          <w:rFonts w:cs="Courier New" w:ascii="Times New Roman" w:hAnsi="Times New Roman"/>
          <w:sz w:val="24"/>
          <w:szCs w:val="24"/>
        </w:rPr>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Выплаты, предусмотренные пунктом 1.1 таблицы 10, устанавливаются на два года, остальными пунктами таблицы 10 - на один год. </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2.6.5. Премиальные выплаты по итогам работы.</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При определении условий и размеров премиальных выплат по итогам работы рекомендуется учитывать:</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успешное и добросовестное исполнение работником своих должностных обязанностей в соответствующем периоде, выполнение показателей муниципального задания;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инициативу, творчество и применение в работе современных форм и методов организации труда;</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качественную подготовку и проведение мероприятий, связанных с уставной деятельностью учреждения (лагерная кампания, учебно-тренировочные сборы, соревновательные мероприятия, подготовка учреждения к новому учебному году, зимнему отопительному сезону и так далее);</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участие работника в течение соответствующего периода в выполнении особо важных работ и мероприятий.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Работникам выплачиваются единовременные премии за выполнение особо важных заданий, не входящих в круг обязанностей, за качественное и оперативное выполнение особо важных заданий.</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Премирование работников учреждений осуществляется по решению руководителя учреждения.</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Конкретный размер премиальных выплат может устанавливаться как в процентном отношении к минимальному окладу, минимальной ставке заработной платы, так и в абсолютном значении.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Работникам выплачиваются материальная помощь и иные выплаты (в том числе к юбилейным датам) на основании личного заявления работника и коллективного договора или иного локального нормативного акта учреждения в пределах средств фонда оплаты труда, а также из средств от приносящей доход деятельности.</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2.6.6. Размеры и условия осуществления выплат стимулирующего характера, определенные пунктом 2.6 настоящего Положения, установлены в целях единообразия систем оплаты труда в учреждениях.</w:t>
      </w:r>
    </w:p>
    <w:p>
      <w:pPr>
        <w:pStyle w:val="Normal"/>
        <w:widowControl w:val="false"/>
        <w:autoSpaceDE w:val="false"/>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Normal"/>
        <w:widowControl w:val="false"/>
        <w:numPr>
          <w:ilvl w:val="0"/>
          <w:numId w:val="0"/>
        </w:numPr>
        <w:autoSpaceDE w:val="false"/>
        <w:spacing w:lineRule="auto" w:line="240" w:before="0" w:after="0"/>
        <w:ind w:left="0" w:right="0" w:firstLine="567"/>
        <w:jc w:val="center"/>
        <w:outlineLvl w:val="1"/>
        <w:rPr>
          <w:rFonts w:ascii="Times New Roman" w:hAnsi="Times New Roman"/>
          <w:sz w:val="24"/>
          <w:szCs w:val="24"/>
        </w:rPr>
      </w:pPr>
      <w:r>
        <w:rPr>
          <w:rFonts w:ascii="Times New Roman" w:hAnsi="Times New Roman"/>
          <w:sz w:val="24"/>
          <w:szCs w:val="24"/>
        </w:rPr>
        <w:t>3. УСЛОВИЯ ОПЛАТЫ ТРУДА ОТДЕЛЬНЫХ КАТЕГОРИЙ РАБОТНИКОВ</w:t>
      </w:r>
    </w:p>
    <w:p>
      <w:pPr>
        <w:pStyle w:val="Normal"/>
        <w:widowControl w:val="false"/>
        <w:autoSpaceDE w:val="false"/>
        <w:spacing w:lineRule="auto" w:line="240" w:before="0" w:after="0"/>
        <w:ind w:left="0" w:right="0" w:firstLine="567"/>
        <w:rPr>
          <w:rFonts w:ascii="Times New Roman" w:hAnsi="Times New Roman"/>
          <w:b/>
          <w:b/>
          <w:sz w:val="24"/>
          <w:szCs w:val="24"/>
        </w:rPr>
      </w:pPr>
      <w:r>
        <w:rPr>
          <w:rFonts w:ascii="Times New Roman" w:hAnsi="Times New Roman"/>
          <w:b/>
          <w:sz w:val="24"/>
          <w:szCs w:val="24"/>
        </w:rPr>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3.1. Заработная плата работника учреждения, отнесенного к категории "руководители" (руководитель, его заместитель, главный бухгалтер, главный инженер), состоит из должностного оклада, выплат компенсационного и стимулирующего характера, устанавливаемых: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в отношении руководителя учреждения - учредителем;</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в отношении заместителя руководителя, главного бухгалтера, главного инженера учреждения - руководителем этого учреждения.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3.2. Должностной оклад руководителю учреждения устанавливается в зависимости от сложности труда, с учетом масштаба управления, особенностей деятельности и значимости учреждения.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Должностной оклад заместителя руководителя, главного бухгалтера и главного инженера учреждения устанавливается на 10 - 30 процентов ниже должностного оклада руководителя этого учреждения.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3.3. Выплаты компенсационного характера устанавливаются для руководителя учреждения, его заместителя, главного бухгалтера и главного инженера в процентах к должностному окладу или в абсолютных размерах, если иное не установлено действующим законодательством, в соответствии с перечнем видов выплат компенсационного характера.</w:t>
      </w:r>
    </w:p>
    <w:p>
      <w:pPr>
        <w:pStyle w:val="31"/>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3.4. Для поощрения руководителя учреждения устанавливаются выплаты стимулирующего характера, которые осуществляются по результатам достижения показателей эффективности деятельности учреждения и работы его руководителя за соответствующий период.</w:t>
      </w:r>
    </w:p>
    <w:p>
      <w:pPr>
        <w:pStyle w:val="31"/>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xml:space="preserve">В качестве показателя эффективности работы руководителя учреждения устанавливается показатель роста средней заработной платы работников учреждения в отчетном году по сравнению с предшествующим годом без учета повышения размера заработной платы в соответствии с правовыми актами Шарангского муниципального района. </w:t>
      </w:r>
    </w:p>
    <w:p>
      <w:pPr>
        <w:pStyle w:val="31"/>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В качестве показателя эффективности работы руководителя учреждения устанавливается выполнение квоты по приему на работу инвалидов (в соответствии с действующим законодательством).</w:t>
      </w:r>
    </w:p>
    <w:p>
      <w:pPr>
        <w:pStyle w:val="Normal"/>
        <w:widowControl w:val="false"/>
        <w:autoSpaceDE w:val="fals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3.5. Условия оплаты труда руководителя учреждения определяются трудовым договором, оформляемым в соответствии с типовой формой трудового договора с руководителем государственного (муниципального) учреждения, утвержденной постановлением Правительства Российской Федерации от 12 апреля 2013 г. N 329 "О типовой форме трудового договора с руководителем государственного (муниципального) учреждения".</w:t>
      </w:r>
    </w:p>
    <w:p>
      <w:pPr>
        <w:pStyle w:val="Normal"/>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3.6. Предельный уровень соотношения среднемесячной заработной платы руководителя учреждения, его заместителя и главного бухгалтера, формируемой за счет всех источников финансового обеспечения и рассчитываемой за календарный год, и среднемесячной заработной платы работников учреждения (без учета заработной платы руководителя, его заместителя, главного бухгалтера) определяется учредителем в размере, не превышающем размера, установленного постановлением администрации Шарангского муниципального района от 14 февраля 2017г. N 79 «Об установлении предельного уровня соотношения среднемесячной заработной платы руководителей, их заместителей и главных бухгалтеров муниципальных казенных, бюджетных и автономных учреждений Шарангского муниципального района и среднемесячной заработной платы работников муниципальных учреждений».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3.7. Размер предельного уровня соотношения среднемесячной заработной платы руководителя, его заместителя и главного бухгалтера и среднемесячной заработной платы работников учреждения (без учета заработной платы руководителя, заместителя руководителя, главного бухгалтера) определяется учредителем с учетом сложности труда, масштаба управления, особенностей деятельности и значимости учреждения в пределах фонда оплаты труда, предусмотренного учреждению на очередной финансовый год и на плановый период.</w:t>
      </w:r>
    </w:p>
    <w:p>
      <w:pPr>
        <w:pStyle w:val="31"/>
        <w:numPr>
          <w:ilvl w:val="1"/>
          <w:numId w:val="3"/>
        </w:numPr>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При установлении условий оплаты труда руководителю учреждения учредитель должен исходить из необходимости обеспечения непревышения предельного уровня соотношения среднемесячной заработной платы, установленного пунктом 3.6, в случае выполнения всех показателей эффективности деятельности учреждения и работы его руководителя и получения выплат стимулирующего характера в максимальном размере.</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3.9. По вновь созданному учреждению в течение первого года его деятельности соотношение среднемесячной заработной платы руководителя, его заместителя и главного бухгалтера и среднемесячной заработной платы работников этого учреждения (без учета заработной платы соответствующего руководителя, его заместителя, главного бухгалтера) определяется за период фактической работы учреждения.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Соотношение среднемесячной заработной платы руководителя, его заместителя и главного бухгалтера учреждения и среднемесячной заработной платы работников этого учреждения (без учета заработной платы руководителя, его заместителя, главного бухгалтера) определяется путем деления среднемесячной заработной платы соответствующего руководителя, заместителя руководителя, главного бухгалтера на среднемесячную заработную плату работников этого учреждения (без учета заработной платы руководителя, его заместителя, главного бухгалтера).</w:t>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Определение среднемесячной заработной платы в указанных в настоящем пункте целях осуществляется в соответствии с Положением об особенностях порядка исчисления средней заработной платы, утвержденным постановлением Правительства Российской Федерации от 24 декабря 2007 года. N 922 «Об особенностях порядка исчисления средней заработной платы».</w:t>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3.10. Индексация (повышение) заработной платы руководителя учреждения, его заместителя, главного бухгалтера и главного инженера осуществляется при формировании районного бюджета на очередной финансовый год (на очередной финансовый год и на плановый период) и в течение финансового года по решению администрации Шарангского муниципального района.</w:t>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3.11. Информация о рассчитываемой за календарный год среднемесячной заработной плате руководителя учреждения, его заместителя и главного бухгалтера размещается в информационно-телекоммуникационной сети "Интернет" в порядке, установленном постановлением администрации Шарангского муниципального района от 4 мая 2017 г. N 245 «Об утверждении порядка размещения информации о рассчитываемой за календарный год среднемесячной заработной плате руководителей, их заместителей и главных бухгалтеров муниципальных предприятий, муниципальных казенных, бюджетных и автономных учреждений Шарангского муниципального района в информационно-телекоммуникационной сети «Интернет» и представления указанными лицами данной информации».</w:t>
      </w:r>
    </w:p>
    <w:p>
      <w:pPr>
        <w:pStyle w:val="ConsPlusNormal"/>
        <w:spacing w:lineRule="auto" w:line="240" w:before="0" w:after="0"/>
        <w:ind w:left="0" w:right="0" w:firstLine="567"/>
        <w:jc w:val="center"/>
        <w:rPr>
          <w:rFonts w:ascii="Times New Roman" w:hAnsi="Times New Roman" w:cs="Times New Roman"/>
          <w:b/>
          <w:b/>
          <w:sz w:val="24"/>
          <w:szCs w:val="24"/>
        </w:rPr>
      </w:pPr>
      <w:r>
        <w:rPr>
          <w:rFonts w:cs="Times New Roman" w:ascii="Times New Roman" w:hAnsi="Times New Roman"/>
          <w:b/>
          <w:sz w:val="24"/>
          <w:szCs w:val="24"/>
        </w:rPr>
        <w:t>4.Особенности оплаты труда по нормам за одного занимающегося для тренеров, тренеров-преподавателей, занимающихся со спортсменами с ограниченными возможностями здоровья</w:t>
      </w:r>
    </w:p>
    <w:p>
      <w:pPr>
        <w:pStyle w:val="ConsPlusNormal"/>
        <w:spacing w:lineRule="auto" w:line="240" w:before="0" w:after="0"/>
        <w:ind w:left="0" w:right="0" w:firstLine="567"/>
        <w:jc w:val="both"/>
        <w:rPr>
          <w:rFonts w:ascii="Times New Roman" w:hAnsi="Times New Roman" w:cs="Times New Roman"/>
          <w:b/>
          <w:b/>
          <w:sz w:val="24"/>
          <w:szCs w:val="24"/>
        </w:rPr>
      </w:pPr>
      <w:r>
        <w:rPr>
          <w:rFonts w:cs="Times New Roman" w:ascii="Times New Roman" w:hAnsi="Times New Roman"/>
          <w:b/>
          <w:sz w:val="24"/>
          <w:szCs w:val="24"/>
        </w:rPr>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4.1. Размеры оплаты труда, численный состав занимающихся и объем учебно-тренировочной работы тренеров, тренеров-преподавателей, занимающихся со спортсменами с ограниченными возможностями здоровья, определяется в соответствии с таблицей 11.</w:t>
      </w:r>
    </w:p>
    <w:p>
      <w:pPr>
        <w:pStyle w:val="ConsPlus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Группа, к которой относится занимающийся, определяется в зависимости от степени функциональных возможностей спортсмена, требующихся для занятий определенным видом спорта (таблицы 12 и 13).</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группе III относятся лица, у которых функциональные возможности, требующиеся для занятий определенным видом спорта, ограничены незначительно, в связи с чем они нуждаются в относительно меньшей посторонней помощи во время занятий или участия в соревнованиях. Минимальный физический недостаток для допуска к соревнованиям лиц с ампутацией одной нижней конечности должен выражаться в том, чтобы ампутация проходила через голеностопный сустав. С ампутацией верхней конечности - через лучезапястный. При прочих поражениях опорно-двигательного аппарата укорочение конечности должно быть на 10 см.</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этой группе рекомендуется относить лиц, имеющих одно из перечисленных ниже поражений: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нарушение зрения (класс B3),</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нарушение слуха, полная потеря слуха,</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умственная отсталость выше 60 IQ (как правило, спортсмены INAS-FID),</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ахондроплазия (карлики),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детский церебральный паралич (классы CP7 - CP8),</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высокая ампутация двух нижних конечностей (классы 57, 58, соревнуются в креслах-колясках),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ампутация или порок развития: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одной нижней конечности ниже коленного сустава (класс A4),</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односторонняя ампутация стопы по Пирогову в сочетании с ампутацией стопы на различном уровне с другой стороны (класс A3),</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одной верхней конечности ниже локтевого сустава (класс A8),</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одной верхней конечности ниже локтевого сустава и одной нижней конечности ниже коленного сустава (с одной стороны или с противоположных сторон) (класс A9),</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прочие нарушения опорно-двигательного аппарата, ограничивающие функциональные возможности спортсменов в мере, сопоставимой с вышеперечисленными.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группе II относятся лица, у которых функциональные возможности, требующиеся для занятий определенным видом спорта, ограничиваются достаточно выраженными нарушениями.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этой группе рекомендуется относить лиц, имеющих одно из перечисленных ниже поражений: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нарушение зрения (класс B2),</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умственная отсталость от 60 до 40 IQ,</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детский церебральный паралич (классы CP5 - CP6),</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спинномозговая травма (классы 55, 56, передвигаются в креслах-колясках),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ампутация или порок развития:</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одной верхней конечности выше локтевого сустава (класс A6),</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одной верхней конечности выше локтевого сустава и одной нижней конечности выше коленного сустава (с одной стороны или с противоположных сторон) (класс A9),</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двусторонняя ампутация предплечий (классы A5, A7),</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прочие нарушения опорно-двигательного аппарата, ограничивающие функциональные возможности спортсменов в мере, сопоставимой с вышеперечисленными.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группе I относятся лица, у которых функциональные возможности, требующиеся для занятий определенным видом спорта, ограничены значительно, в связи с чем они нуждаются в посторонней помощи во время занятий или участия в соревнованиях.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К этой группе рекомендуется относить лиц, имеющих одно из перечисленных ниже поражений: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полная потеря зрения (класс B1),</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детский церебральный паралич (классы CP1 - CP4, передвигающиеся в креслах-колясках),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спинномозговая травма (классы 51 - 54, передвигающиеся в креслах-колясках),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ампутация или порок развития: (классы A1, A2, A5) двусторонняя ампутация бедер (передвигающиеся на протезах), односторонняя ампутация бедра с вычленением (передвигающиеся на протезах), односторонняя ампутация бедра в сочетании с ампутацией стопы или голени с другой стороны, двусторонняя ампутация плеч, ампутация четырех конечностей,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прочие нарушения опорно-двигательного аппарата, ограничивающие функциональные возможности спортсменов в мере, сопоставимой с вышеперечисленными.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Для группы лиц, занимающихся легкой атлетикой в трековых видах в классах с T51 по T54 и с T32 по T34 спортсмены передвигаются только в колясках. В метаниях в классах с F51 по F58 и с F32 по F34 спортсмены выступают на специальном станке.</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Распределение спортсменов на группы по степени функциональных возможностей для занятий определенным видом спорта возлагается на учреждение и осуществляется один раз в год (в начале учебного года). Для определения группы по степени функциональных возможностей спортсмена с поражением опорно-двигательного аппарата приказом учреждения создается комиссия, в которую входят: директор учреждения, старший тренер-преподаватель (или тренер-преподаватель) по адаптивной физической культуре и спорту, врач (невролог, травматолог, при необходимости - офтальмолог). Если у спортсмена уже имеется класс, утвержденный классификационной комиссией субъекта Российской Федерации, комиссией спортивной федерации инвалидов общероссийского уровня или международной комиссией, то отнесение спортсмена к группе по степени функциональных возможностей осуществляется на основании определения его класса, данного этой комиссией.</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В случае необходимости объединения в одну учебную группу занимающихся, разных по возрасту, функциональному классу или уровню спортивной подготовленности, разница в степени функциональных возможностей не должна превышать трех функциональных классов, разница в уровне спортивной подготовленности не должна превышать двух спортивных разрядов. В игровых видах спорта комплектование учебных групп производится с учетом композиции функциональных классов в команде в соответствии с правилами соревнований.</w:t>
      </w:r>
    </w:p>
    <w:p>
      <w:pPr>
        <w:pStyle w:val="Normal"/>
        <w:tabs>
          <w:tab w:val="clear" w:pos="708"/>
          <w:tab w:val="left" w:pos="8222" w:leader="none"/>
        </w:tabs>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На всех этапах подготовки могут привлекаться дополнительно к основному тренеру, тренеру-преподавателю как другие тренеры, тренеры-преподаватели, так и специалисты, непосредственно обеспечивающие тренировочный процесс, в том числе психологи, тренеры-лидеры, сурдопереводчики и иные специалисты (на тренировочном этапе, этапах совершенствования спортивного мастерства и высшего спортивного мастерства также и тренеры, тренеры-преподаватели по смежным видам спорта) при условии их одновременной с основным тренером-преподавателем работы со спортсменами.</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При оплате труда по нормативам за одного занимающегося максимальный состав спортивно-оздоровительных групп и групп начальной подготовки не должен превышать двух минимальных составов с учетом соблюдения правил техники безопасности на учебно-тренировочных занятиях.</w:t>
      </w:r>
    </w:p>
    <w:p>
      <w:pPr>
        <w:pStyle w:val="ConsPlus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Недельный режим тренировочной работы является максимальным и устанавливается в зависимости от специфики вида спорта, периода и задач подготовки. Общегодовой объем тренировочной работы, предусмотренный указанными режимами работы, начиная с тренировочного этапа подготовки, может быть сокращен не более чем на 25%.</w:t>
      </w:r>
    </w:p>
    <w:p>
      <w:pPr>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jc w:val="right"/>
        <w:rPr>
          <w:rFonts w:ascii="Times New Roman" w:hAnsi="Times New Roman" w:cs="Times New Roman"/>
          <w:sz w:val="24"/>
          <w:szCs w:val="24"/>
        </w:rPr>
      </w:pPr>
      <w:r>
        <w:rPr>
          <w:rFonts w:cs="Times New Roman" w:ascii="Times New Roman" w:hAnsi="Times New Roman"/>
          <w:sz w:val="24"/>
          <w:szCs w:val="24"/>
        </w:rPr>
        <w:t>Таблица 11</w:t>
      </w:r>
    </w:p>
    <w:p>
      <w:pPr>
        <w:pStyle w:val="Normal"/>
        <w:tabs>
          <w:tab w:val="clear" w:pos="708"/>
          <w:tab w:val="left" w:pos="8222" w:leader="none"/>
        </w:tabs>
        <w:jc w:val="both"/>
        <w:rPr>
          <w:rFonts w:ascii="Times New Roman" w:hAnsi="Times New Roman"/>
          <w:bCs/>
          <w:sz w:val="24"/>
          <w:szCs w:val="24"/>
        </w:rPr>
      </w:pPr>
      <w:r>
        <w:rPr>
          <w:rFonts w:ascii="Times New Roman" w:hAnsi="Times New Roman"/>
          <w:bCs/>
          <w:sz w:val="24"/>
          <w:szCs w:val="24"/>
        </w:rPr>
      </w:r>
    </w:p>
    <w:tbl>
      <w:tblPr>
        <w:tblW w:w="15578" w:type="dxa"/>
        <w:jc w:val="left"/>
        <w:tblInd w:w="0" w:type="dxa"/>
        <w:tblCellMar>
          <w:top w:w="102" w:type="dxa"/>
          <w:left w:w="62" w:type="dxa"/>
          <w:bottom w:w="102" w:type="dxa"/>
          <w:right w:w="62" w:type="dxa"/>
        </w:tblCellMar>
      </w:tblPr>
      <w:tblGrid>
        <w:gridCol w:w="1425"/>
        <w:gridCol w:w="1470"/>
        <w:gridCol w:w="1980"/>
        <w:gridCol w:w="1530"/>
        <w:gridCol w:w="1365"/>
        <w:gridCol w:w="1590"/>
        <w:gridCol w:w="1980"/>
        <w:gridCol w:w="1695"/>
        <w:gridCol w:w="2543"/>
      </w:tblGrid>
      <w:tr>
        <w:trPr>
          <w:trHeight w:val="472" w:hRule="atLeast"/>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sz w:val="24"/>
                <w:szCs w:val="24"/>
              </w:rPr>
            </w:pPr>
            <w:r>
              <w:rPr>
                <w:rFonts w:cs="Times New Roman" w:ascii="Times New Roman" w:hAnsi="Times New Roman"/>
                <w:sz w:val="24"/>
                <w:szCs w:val="24"/>
              </w:rPr>
              <w:t>Этапы подготовки</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Период обучения (лет)</w:t>
            </w:r>
          </w:p>
        </w:tc>
        <w:tc>
          <w:tcPr>
            <w:tcW w:w="198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Группа степени функциональных возможностей</w:t>
            </w:r>
          </w:p>
        </w:tc>
        <w:tc>
          <w:tcPr>
            <w:tcW w:w="2895" w:type="dxa"/>
            <w:gridSpan w:val="2"/>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Наполняемость групп</w:t>
            </w:r>
          </w:p>
        </w:tc>
        <w:tc>
          <w:tcPr>
            <w:tcW w:w="159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Нормативный объем недельной нагрузки</w:t>
            </w:r>
          </w:p>
        </w:tc>
        <w:tc>
          <w:tcPr>
            <w:tcW w:w="198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Объем работы по индивидуальным планам</w:t>
            </w:r>
          </w:p>
        </w:tc>
        <w:tc>
          <w:tcPr>
            <w:tcW w:w="169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Общегодовой объем</w:t>
            </w:r>
          </w:p>
        </w:tc>
        <w:tc>
          <w:tcPr>
            <w:tcW w:w="2543"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Размер норматива труда тренера-преподавателя по адаптивному спорту за подготовку одного занимающегося (в % от должностного оклада, ставки заработной платы)</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оптимальная</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допустимая</w:t>
            </w:r>
          </w:p>
        </w:tc>
        <w:tc>
          <w:tcPr>
            <w:tcW w:w="1590" w:type="dxa"/>
            <w:vMerge w:val="continue"/>
            <w:tcBorders>
              <w:top w:val="single" w:sz="4" w:space="0" w:color="000000"/>
              <w:left w:val="single" w:sz="4" w:space="0" w:color="000000"/>
              <w:bottom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980" w:type="dxa"/>
            <w:vMerge w:val="continue"/>
            <w:tcBorders>
              <w:top w:val="single" w:sz="4" w:space="0" w:color="000000"/>
              <w:left w:val="single" w:sz="4" w:space="0" w:color="000000"/>
              <w:bottom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695" w:type="dxa"/>
            <w:vMerge w:val="continue"/>
            <w:tcBorders>
              <w:top w:val="single" w:sz="4" w:space="0" w:color="000000"/>
              <w:left w:val="single" w:sz="4" w:space="0" w:color="000000"/>
              <w:bottom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2543" w:type="dxa"/>
            <w:vMerge w:val="continue"/>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r>
      <w:tr>
        <w:trPr>
          <w:trHeight w:val="198" w:hRule="atLeast"/>
        </w:trPr>
        <w:tc>
          <w:tcPr>
            <w:tcW w:w="1425" w:type="dxa"/>
            <w:tcBorders>
              <w:top w:val="single" w:sz="4" w:space="0" w:color="000000"/>
              <w:left w:val="single" w:sz="4" w:space="0" w:color="000000"/>
              <w:bottom w:val="single" w:sz="4" w:space="0" w:color="000000"/>
            </w:tcBorders>
            <w:shd w:fill="auto" w:val="clear"/>
          </w:tcPr>
          <w:p>
            <w:pPr>
              <w:pStyle w:val="ConsPlusNormal"/>
              <w:ind w:firstLine="142"/>
              <w:jc w:val="center"/>
              <w:rPr>
                <w:rFonts w:ascii="Times New Roman" w:hAnsi="Times New Roman" w:cs="Times New Roman"/>
                <w:sz w:val="24"/>
                <w:szCs w:val="24"/>
              </w:rPr>
            </w:pPr>
            <w:r>
              <w:rPr>
                <w:rFonts w:cs="Times New Roman" w:ascii="Times New Roman" w:hAnsi="Times New Roman"/>
                <w:sz w:val="24"/>
                <w:szCs w:val="24"/>
              </w:rPr>
              <w:t>1</w:t>
            </w:r>
          </w:p>
        </w:tc>
        <w:tc>
          <w:tcPr>
            <w:tcW w:w="147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4</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7</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8</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9</w:t>
            </w:r>
          </w:p>
        </w:tc>
      </w:tr>
      <w:tr>
        <w:trPr>
          <w:trHeight w:val="274" w:hRule="atLeast"/>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спортивно-оздоровите</w:t>
            </w:r>
          </w:p>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льный</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весь период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10</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15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230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2,8%</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12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230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3,5%</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3</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230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9,3%</w:t>
            </w:r>
          </w:p>
        </w:tc>
      </w:tr>
      <w:tr>
        <w:trPr>
          <w:trHeight w:val="274" w:hRule="atLeast"/>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sz w:val="24"/>
                <w:szCs w:val="24"/>
              </w:rPr>
            </w:pPr>
            <w:r>
              <w:rPr>
                <w:rFonts w:cs="Times New Roman" w:ascii="Times New Roman" w:hAnsi="Times New Roman"/>
                <w:sz w:val="24"/>
                <w:szCs w:val="24"/>
              </w:rPr>
              <w:t>начальной подготовки</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первый год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10</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15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276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3,3%</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12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276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4,2%</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3</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276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11,1%</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второй и последующие годы</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12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414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6,3%</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6</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9</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414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8,3%</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snapToGrid w:val="false"/>
              <w:ind w:firstLine="13"/>
              <w:jc w:val="center"/>
              <w:rPr>
                <w:rFonts w:ascii="Times New Roman" w:hAnsi="Times New Roman" w:cs="Times New Roman"/>
                <w:sz w:val="24"/>
                <w:szCs w:val="24"/>
              </w:rPr>
            </w:pPr>
            <w:r>
              <w:rPr>
                <w:rFonts w:cs="Times New Roman" w:ascii="Times New Roman" w:hAnsi="Times New Roman"/>
                <w:sz w:val="24"/>
                <w:szCs w:val="24"/>
              </w:rPr>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414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25,0%</w:t>
            </w:r>
          </w:p>
        </w:tc>
      </w:tr>
      <w:tr>
        <w:trPr>
          <w:trHeight w:val="274" w:hRule="atLeast"/>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учебно-тренировоч</w:t>
            </w:r>
          </w:p>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ный</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первый год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6</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9</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3</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552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8,3%</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5</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8</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3</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552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10,0%</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3</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552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25,0%</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второй - третий год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5</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8</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828</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13,3%</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4</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6</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828</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16,7%</w:t>
            </w:r>
          </w:p>
        </w:tc>
      </w:tr>
      <w:tr>
        <w:trPr>
          <w:trHeight w:val="146" w:hRule="atLeast"/>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firstLine="11"/>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980" w:type="dxa"/>
            <w:tcBorders>
              <w:top w:val="single" w:sz="4" w:space="0" w:color="000000"/>
              <w:left w:val="single" w:sz="4" w:space="0" w:color="000000"/>
              <w:bottom w:val="single" w:sz="4" w:space="0" w:color="000000"/>
            </w:tcBorders>
            <w:shd w:fill="auto" w:val="clear"/>
          </w:tcPr>
          <w:p>
            <w:pPr>
              <w:pStyle w:val="ConsPlusNormal"/>
              <w:ind w:firstLine="13"/>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828</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33,3%</w:t>
            </w:r>
          </w:p>
        </w:tc>
      </w:tr>
      <w:tr>
        <w:trPr/>
        <w:tc>
          <w:tcPr>
            <w:tcW w:w="1425" w:type="dxa"/>
            <w:vMerge w:val="restart"/>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четвертый и последующие годы</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4</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590"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966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20,8%</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966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27,8%</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w:t>
            </w:r>
          </w:p>
        </w:tc>
        <w:tc>
          <w:tcPr>
            <w:tcW w:w="1590"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6</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966</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83,3%</w:t>
            </w:r>
          </w:p>
        </w:tc>
      </w:tr>
      <w:tr>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sz w:val="24"/>
                <w:szCs w:val="24"/>
              </w:rPr>
            </w:pPr>
            <w:r>
              <w:rPr>
                <w:rFonts w:cs="Times New Roman" w:ascii="Times New Roman" w:hAnsi="Times New Roman"/>
                <w:sz w:val="24"/>
                <w:szCs w:val="24"/>
              </w:rPr>
              <w:t>совершенст</w:t>
            </w:r>
          </w:p>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вования спортивного мастерства</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первый год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1 104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27,8%</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hanging="40"/>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1 104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41,7%</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w:t>
            </w:r>
          </w:p>
        </w:tc>
        <w:tc>
          <w:tcPr>
            <w:tcW w:w="1365" w:type="dxa"/>
            <w:tcBorders>
              <w:top w:val="single" w:sz="4" w:space="0" w:color="000000"/>
              <w:left w:val="single" w:sz="4" w:space="0" w:color="000000"/>
              <w:bottom w:val="single" w:sz="4" w:space="0" w:color="000000"/>
            </w:tcBorders>
            <w:shd w:fill="auto" w:val="clear"/>
          </w:tcPr>
          <w:p>
            <w:pPr>
              <w:pStyle w:val="ConsPlusNormal"/>
              <w:ind w:hanging="40"/>
              <w:jc w:val="center"/>
              <w:rPr>
                <w:rFonts w:ascii="Times New Roman" w:hAnsi="Times New Roman" w:cs="Times New Roman"/>
                <w:sz w:val="24"/>
                <w:szCs w:val="24"/>
              </w:rPr>
            </w:pPr>
            <w:r>
              <w:rPr>
                <w:rFonts w:cs="Times New Roman" w:ascii="Times New Roman" w:hAnsi="Times New Roman"/>
                <w:sz w:val="24"/>
                <w:szCs w:val="24"/>
              </w:rPr>
              <w:t>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15</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1 104</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83,3%</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второй и последующие годы</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3</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5</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1 242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33,3%</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8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1 242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50,0%</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hanging="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8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1</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9</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1 242</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100,0%</w:t>
            </w:r>
          </w:p>
        </w:tc>
      </w:tr>
      <w:tr>
        <w:trPr/>
        <w:tc>
          <w:tcPr>
            <w:tcW w:w="1425" w:type="dxa"/>
            <w:vMerge w:val="restart"/>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высшего спортивного мастерства</w:t>
            </w:r>
          </w:p>
        </w:tc>
        <w:tc>
          <w:tcPr>
            <w:tcW w:w="1470" w:type="dxa"/>
            <w:vMerge w:val="restart"/>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весь период</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1 380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50,0%</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2</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3</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1 380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50,0%</w:t>
            </w:r>
          </w:p>
        </w:tc>
      </w:tr>
      <w:tr>
        <w:trPr/>
        <w:tc>
          <w:tcPr>
            <w:tcW w:w="1425"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470" w:type="dxa"/>
            <w:vMerge w:val="continue"/>
            <w:tcBorders>
              <w:top w:val="single" w:sz="4" w:space="0" w:color="000000"/>
              <w:left w:val="single" w:sz="4" w:space="0" w:color="000000"/>
              <w:bottom w:val="single" w:sz="4" w:space="0" w:color="000000"/>
            </w:tcBorders>
            <w:shd w:fill="auto" w:val="clear"/>
          </w:tcPr>
          <w:p>
            <w:pPr>
              <w:pStyle w:val="ConsPlusNormal"/>
              <w:snapToGrid w:val="false"/>
              <w:ind w:firstLine="540"/>
              <w:jc w:val="center"/>
              <w:rPr>
                <w:rFonts w:ascii="Times New Roman" w:hAnsi="Times New Roman" w:cs="Times New Roman"/>
                <w:sz w:val="24"/>
                <w:szCs w:val="24"/>
              </w:rPr>
            </w:pPr>
            <w:r>
              <w:rPr>
                <w:rFonts w:cs="Times New Roman" w:ascii="Times New Roman" w:hAnsi="Times New Roman"/>
                <w:sz w:val="24"/>
                <w:szCs w:val="24"/>
              </w:rPr>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I</w:t>
            </w:r>
          </w:p>
        </w:tc>
        <w:tc>
          <w:tcPr>
            <w:tcW w:w="1530" w:type="dxa"/>
            <w:tcBorders>
              <w:top w:val="single" w:sz="4" w:space="0" w:color="000000"/>
              <w:left w:val="single" w:sz="4" w:space="0" w:color="000000"/>
              <w:bottom w:val="single" w:sz="4" w:space="0" w:color="000000"/>
            </w:tcBorders>
            <w:shd w:fill="auto" w:val="clear"/>
          </w:tcPr>
          <w:p>
            <w:pPr>
              <w:pStyle w:val="ConsPlusNormal"/>
              <w:ind w:left="-1196" w:firstLine="1196"/>
              <w:jc w:val="center"/>
              <w:rPr>
                <w:rFonts w:ascii="Times New Roman" w:hAnsi="Times New Roman" w:cs="Times New Roman"/>
                <w:sz w:val="24"/>
                <w:szCs w:val="24"/>
              </w:rPr>
            </w:pPr>
            <w:r>
              <w:rPr>
                <w:rFonts w:cs="Times New Roman" w:ascii="Times New Roman" w:hAnsi="Times New Roman"/>
                <w:sz w:val="24"/>
                <w:szCs w:val="24"/>
              </w:rPr>
              <w:t>1</w:t>
            </w:r>
          </w:p>
        </w:tc>
        <w:tc>
          <w:tcPr>
            <w:tcW w:w="136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2</w:t>
            </w:r>
          </w:p>
        </w:tc>
        <w:tc>
          <w:tcPr>
            <w:tcW w:w="159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18</w:t>
            </w:r>
          </w:p>
        </w:tc>
        <w:tc>
          <w:tcPr>
            <w:tcW w:w="198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12</w:t>
            </w:r>
          </w:p>
        </w:tc>
        <w:tc>
          <w:tcPr>
            <w:tcW w:w="169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1 380</w:t>
            </w:r>
          </w:p>
        </w:tc>
        <w:tc>
          <w:tcPr>
            <w:tcW w:w="2543" w:type="dxa"/>
            <w:tcBorders>
              <w:top w:val="single" w:sz="4" w:space="0" w:color="000000"/>
              <w:left w:val="single" w:sz="4" w:space="0" w:color="000000"/>
              <w:bottom w:val="single" w:sz="4" w:space="0" w:color="000000"/>
              <w:right w:val="single" w:sz="4" w:space="0" w:color="000000"/>
            </w:tcBorders>
            <w:shd w:fill="auto" w:val="clear"/>
          </w:tcPr>
          <w:p>
            <w:pPr>
              <w:pStyle w:val="ConsPlusNormal"/>
              <w:ind w:firstLine="79"/>
              <w:jc w:val="center"/>
              <w:rPr>
                <w:rFonts w:ascii="Times New Roman" w:hAnsi="Times New Roman" w:cs="Times New Roman"/>
                <w:sz w:val="24"/>
                <w:szCs w:val="24"/>
              </w:rPr>
            </w:pPr>
            <w:r>
              <w:rPr>
                <w:rFonts w:cs="Times New Roman" w:ascii="Times New Roman" w:hAnsi="Times New Roman"/>
                <w:sz w:val="24"/>
                <w:szCs w:val="24"/>
              </w:rPr>
              <w:t>100,0%</w:t>
            </w:r>
          </w:p>
        </w:tc>
      </w:tr>
    </w:tbl>
    <w:p>
      <w:pPr>
        <w:pStyle w:val="Normal"/>
        <w:tabs>
          <w:tab w:val="clear" w:pos="708"/>
          <w:tab w:val="left" w:pos="8222" w:leader="none"/>
        </w:tabs>
        <w:jc w:val="both"/>
        <w:rPr>
          <w:rFonts w:ascii="Times New Roman" w:hAnsi="Times New Roman"/>
          <w:bCs/>
          <w:sz w:val="24"/>
          <w:szCs w:val="24"/>
        </w:rPr>
      </w:pPr>
      <w:r>
        <w:rPr>
          <w:rFonts w:ascii="Times New Roman" w:hAnsi="Times New Roman"/>
          <w:bCs/>
          <w:sz w:val="24"/>
          <w:szCs w:val="24"/>
        </w:rPr>
      </w:r>
    </w:p>
    <w:p>
      <w:pPr>
        <w:sectPr>
          <w:headerReference w:type="default" r:id="rId5"/>
          <w:type w:val="nextPage"/>
          <w:pgSz w:orient="landscape" w:w="16838" w:h="11906"/>
          <w:pgMar w:left="540" w:right="713" w:header="1134" w:top="1648" w:footer="0" w:bottom="1134" w:gutter="0"/>
          <w:pgNumType w:fmt="decimal"/>
          <w:formProt w:val="false"/>
          <w:textDirection w:val="lrTb"/>
        </w:sectPr>
        <w:pStyle w:val="ConsPlusNormal"/>
        <w:jc w:val="right"/>
        <w:rPr>
          <w:bCs/>
        </w:rPr>
      </w:pPr>
      <w:r>
        <w:rPr>
          <w:rFonts w:cs="Times New Roman" w:ascii="Times New Roman" w:hAnsi="Times New Roman"/>
          <w:sz w:val="24"/>
          <w:szCs w:val="24"/>
        </w:rPr>
      </w:r>
    </w:p>
    <w:p>
      <w:pPr>
        <w:pStyle w:val="ConsPlusNormal"/>
        <w:jc w:val="right"/>
        <w:rPr>
          <w:rFonts w:ascii="Times New Roman" w:hAnsi="Times New Roman" w:cs="Times New Roman"/>
          <w:sz w:val="24"/>
          <w:szCs w:val="24"/>
        </w:rPr>
      </w:pPr>
      <w:r>
        <w:rPr>
          <w:rFonts w:cs="Times New Roman" w:ascii="Times New Roman" w:hAnsi="Times New Roman"/>
          <w:sz w:val="24"/>
          <w:szCs w:val="24"/>
        </w:rPr>
        <w:t>Таблица 12</w:t>
      </w:r>
    </w:p>
    <w:p>
      <w:pPr>
        <w:pStyle w:val="ConsPlusNormal"/>
        <w:tabs>
          <w:tab w:val="clear" w:pos="708"/>
          <w:tab w:val="left" w:pos="4575" w:leader="none"/>
        </w:tabs>
        <w:ind w:firstLine="540"/>
        <w:jc w:val="both"/>
        <w:rPr>
          <w:rFonts w:ascii="Times New Roman" w:hAnsi="Times New Roman" w:cs="Times New Roman"/>
          <w:sz w:val="24"/>
          <w:szCs w:val="24"/>
        </w:rPr>
      </w:pPr>
      <w:r>
        <w:rPr>
          <w:rFonts w:cs="Times New Roman" w:ascii="Times New Roman" w:hAnsi="Times New Roman"/>
          <w:sz w:val="24"/>
          <w:szCs w:val="24"/>
        </w:rPr>
        <w:tab/>
      </w:r>
    </w:p>
    <w:p>
      <w:pPr>
        <w:pStyle w:val="ConsPlusNormal"/>
        <w:ind w:hanging="0"/>
        <w:jc w:val="center"/>
        <w:rPr>
          <w:rFonts w:ascii="Times New Roman" w:hAnsi="Times New Roman"/>
          <w:sz w:val="24"/>
          <w:szCs w:val="24"/>
        </w:rPr>
      </w:pPr>
      <w:bookmarkStart w:id="4" w:name="Par1426"/>
      <w:bookmarkEnd w:id="4"/>
      <w:r>
        <w:rPr>
          <w:rFonts w:cs="Times New Roman" w:ascii="Times New Roman" w:hAnsi="Times New Roman"/>
          <w:sz w:val="24"/>
          <w:szCs w:val="24"/>
        </w:rPr>
        <w:t>Распределение спортсменов на группы в соответствии с функционально-медицинскими классами, установленными международными спортивными организациями инвалидов</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r>
    </w:p>
    <w:tbl>
      <w:tblPr>
        <w:tblW w:w="9690" w:type="dxa"/>
        <w:jc w:val="left"/>
        <w:tblInd w:w="-67" w:type="dxa"/>
        <w:tblCellMar>
          <w:top w:w="102" w:type="dxa"/>
          <w:left w:w="62" w:type="dxa"/>
          <w:bottom w:w="102" w:type="dxa"/>
          <w:right w:w="62" w:type="dxa"/>
        </w:tblCellMar>
      </w:tblPr>
      <w:tblGrid>
        <w:gridCol w:w="4935"/>
        <w:gridCol w:w="1695"/>
        <w:gridCol w:w="1530"/>
        <w:gridCol w:w="1530"/>
      </w:tblGrid>
      <w:tr>
        <w:trPr/>
        <w:tc>
          <w:tcPr>
            <w:tcW w:w="4935"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 xml:space="preserve">Наименование международной спортивной </w:t>
            </w:r>
          </w:p>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организации инвалидов</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Группа III</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Группа II</w:t>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Группа I</w:t>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CP-ISRA (Международная ассоциация спорта и рекреации лиц с церебральным параличом)</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CP7, CP8</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CP5, CP6</w:t>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CP1, CP2, CP3, CP4</w:t>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IWAS (Международная спортивная ассоциация колясочников и ампутантов), объединившая две международные организации: ISMGF и ISOD</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A3, A4, A8, A9, 57, 58</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A6, A7, 55, 56</w:t>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A1, A2, A5, 51, 52, 53, 54</w:t>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IBSA (Международная ассоциация спорта слепых)</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B3</w:t>
            </w:r>
          </w:p>
        </w:tc>
        <w:tc>
          <w:tcPr>
            <w:tcW w:w="1530" w:type="dxa"/>
            <w:tcBorders>
              <w:top w:val="single" w:sz="4" w:space="0" w:color="000000"/>
              <w:left w:val="single" w:sz="4" w:space="0" w:color="000000"/>
              <w:bottom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B2</w:t>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ind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CISS (Международный спортивный комитет глухих)</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Слабослышащие, полная потеря слуха</w:t>
            </w:r>
          </w:p>
        </w:tc>
        <w:tc>
          <w:tcPr>
            <w:tcW w:w="1530" w:type="dxa"/>
            <w:tcBorders>
              <w:top w:val="single" w:sz="4" w:space="0" w:color="000000"/>
              <w:left w:val="single" w:sz="4" w:space="0" w:color="000000"/>
              <w:bottom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INAS-FID (Международная спортивная ассоциация лиц с нарушением интеллекта)</w:t>
            </w:r>
          </w:p>
        </w:tc>
        <w:tc>
          <w:tcPr>
            <w:tcW w:w="1695" w:type="dxa"/>
            <w:tcBorders>
              <w:top w:val="single" w:sz="4" w:space="0" w:color="000000"/>
              <w:left w:val="single" w:sz="4" w:space="0" w:color="000000"/>
              <w:bottom w:val="single" w:sz="4" w:space="0" w:color="000000"/>
            </w:tcBorders>
            <w:shd w:fill="auto" w:val="clear"/>
          </w:tcPr>
          <w:p>
            <w:pPr>
              <w:pStyle w:val="ConsPlusNormal"/>
              <w:ind w:firstLine="80"/>
              <w:jc w:val="center"/>
              <w:rPr>
                <w:rFonts w:ascii="Times New Roman" w:hAnsi="Times New Roman" w:cs="Times New Roman"/>
                <w:sz w:val="24"/>
                <w:szCs w:val="24"/>
              </w:rPr>
            </w:pPr>
            <w:r>
              <w:rPr>
                <w:rFonts w:cs="Times New Roman" w:ascii="Times New Roman" w:hAnsi="Times New Roman"/>
                <w:sz w:val="24"/>
                <w:szCs w:val="24"/>
              </w:rPr>
              <w:t>+</w:t>
            </w:r>
          </w:p>
        </w:tc>
        <w:tc>
          <w:tcPr>
            <w:tcW w:w="1530" w:type="dxa"/>
            <w:tcBorders>
              <w:top w:val="single" w:sz="4" w:space="0" w:color="000000"/>
              <w:left w:val="single" w:sz="4" w:space="0" w:color="000000"/>
              <w:bottom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r>
      <w:tr>
        <w:trPr/>
        <w:tc>
          <w:tcPr>
            <w:tcW w:w="4935" w:type="dxa"/>
            <w:tcBorders>
              <w:top w:val="single" w:sz="4" w:space="0" w:color="000000"/>
              <w:left w:val="single" w:sz="4" w:space="0" w:color="000000"/>
              <w:bottom w:val="single" w:sz="4" w:space="0" w:color="000000"/>
            </w:tcBorders>
            <w:shd w:fill="auto" w:val="clear"/>
          </w:tcPr>
          <w:p>
            <w:pPr>
              <w:pStyle w:val="ConsPlusNormal"/>
              <w:ind w:firstLine="284"/>
              <w:jc w:val="both"/>
              <w:rPr>
                <w:rFonts w:ascii="Times New Roman" w:hAnsi="Times New Roman" w:cs="Times New Roman"/>
                <w:sz w:val="24"/>
                <w:szCs w:val="24"/>
              </w:rPr>
            </w:pPr>
            <w:r>
              <w:rPr>
                <w:rFonts w:cs="Times New Roman" w:ascii="Times New Roman" w:hAnsi="Times New Roman"/>
                <w:sz w:val="24"/>
                <w:szCs w:val="24"/>
              </w:rPr>
              <w:t>SOI (Международная специальная олимпиада для умственно отсталых лиц)</w:t>
            </w:r>
          </w:p>
        </w:tc>
        <w:tc>
          <w:tcPr>
            <w:tcW w:w="1695" w:type="dxa"/>
            <w:tcBorders>
              <w:top w:val="single" w:sz="4" w:space="0" w:color="000000"/>
              <w:left w:val="single" w:sz="4" w:space="0" w:color="000000"/>
              <w:bottom w:val="single" w:sz="4" w:space="0" w:color="000000"/>
            </w:tcBorders>
            <w:shd w:fill="auto" w:val="clear"/>
          </w:tcPr>
          <w:p>
            <w:pPr>
              <w:pStyle w:val="ConsPlusNormal"/>
              <w:snapToGrid w:val="false"/>
              <w:rPr>
                <w:rFonts w:ascii="Times New Roman" w:hAnsi="Times New Roman" w:cs="Times New Roman"/>
                <w:sz w:val="24"/>
                <w:szCs w:val="24"/>
              </w:rPr>
            </w:pPr>
            <w:r>
              <w:rPr>
                <w:rFonts w:cs="Times New Roman" w:ascii="Times New Roman" w:hAnsi="Times New Roman"/>
                <w:sz w:val="24"/>
                <w:szCs w:val="24"/>
              </w:rPr>
            </w:r>
          </w:p>
        </w:tc>
        <w:tc>
          <w:tcPr>
            <w:tcW w:w="1530" w:type="dxa"/>
            <w:tcBorders>
              <w:top w:val="single" w:sz="4" w:space="0" w:color="000000"/>
              <w:left w:val="single" w:sz="4" w:space="0" w:color="000000"/>
              <w:bottom w:val="single" w:sz="4" w:space="0" w:color="000000"/>
            </w:tcBorders>
            <w:shd w:fill="auto" w:val="clear"/>
          </w:tcPr>
          <w:p>
            <w:pPr>
              <w:pStyle w:val="ConsPlusNormal"/>
              <w:ind w:firstLine="24"/>
              <w:jc w:val="center"/>
              <w:rPr>
                <w:rFonts w:ascii="Times New Roman" w:hAnsi="Times New Roman" w:cs="Times New Roman"/>
                <w:sz w:val="24"/>
                <w:szCs w:val="24"/>
              </w:rPr>
            </w:pPr>
            <w:r>
              <w:rPr>
                <w:rFonts w:cs="Times New Roman" w:ascii="Times New Roman" w:hAnsi="Times New Roman"/>
                <w:sz w:val="24"/>
                <w:szCs w:val="24"/>
              </w:rPr>
              <w:t>+</w:t>
            </w:r>
          </w:p>
        </w:tc>
        <w:tc>
          <w:tcPr>
            <w:tcW w:w="1530"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jc w:val="center"/>
              <w:rPr>
                <w:rFonts w:ascii="Times New Roman" w:hAnsi="Times New Roman" w:cs="Times New Roman"/>
                <w:sz w:val="24"/>
                <w:szCs w:val="24"/>
              </w:rPr>
            </w:pPr>
            <w:r>
              <w:rPr>
                <w:rFonts w:cs="Times New Roman" w:ascii="Times New Roman" w:hAnsi="Times New Roman"/>
                <w:sz w:val="24"/>
                <w:szCs w:val="24"/>
              </w:rPr>
            </w:r>
          </w:p>
        </w:tc>
      </w:tr>
    </w:tbl>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jc w:val="right"/>
        <w:rPr>
          <w:rFonts w:ascii="Times New Roman" w:hAnsi="Times New Roman" w:cs="Times New Roman"/>
          <w:sz w:val="24"/>
          <w:szCs w:val="24"/>
        </w:rPr>
      </w:pPr>
      <w:r>
        <w:rPr>
          <w:rFonts w:cs="Times New Roman" w:ascii="Times New Roman" w:hAnsi="Times New Roman"/>
          <w:sz w:val="24"/>
          <w:szCs w:val="24"/>
        </w:rPr>
        <w:t>Таблица 13</w:t>
      </w:r>
    </w:p>
    <w:p>
      <w:pPr>
        <w:pStyle w:val="ConsPlusNormal"/>
        <w:jc w:val="center"/>
        <w:rPr>
          <w:rFonts w:ascii="Times New Roman" w:hAnsi="Times New Roman" w:cs="Times New Roman"/>
          <w:sz w:val="24"/>
          <w:szCs w:val="24"/>
        </w:rPr>
      </w:pPr>
      <w:bookmarkStart w:id="5" w:name="Par1461"/>
      <w:bookmarkEnd w:id="5"/>
      <w:r>
        <w:rPr>
          <w:rFonts w:cs="Times New Roman" w:ascii="Times New Roman" w:hAnsi="Times New Roman"/>
          <w:sz w:val="24"/>
          <w:szCs w:val="24"/>
        </w:rPr>
        <w:t>Распределение спортсменов на группы</w:t>
      </w:r>
    </w:p>
    <w:p>
      <w:pPr>
        <w:pStyle w:val="ConsPlusNormal"/>
        <w:jc w:val="center"/>
        <w:rPr>
          <w:rFonts w:ascii="Times New Roman" w:hAnsi="Times New Roman" w:cs="Times New Roman"/>
          <w:sz w:val="24"/>
          <w:szCs w:val="24"/>
        </w:rPr>
      </w:pPr>
      <w:r>
        <w:rPr>
          <w:rFonts w:cs="Times New Roman" w:ascii="Times New Roman" w:hAnsi="Times New Roman"/>
          <w:sz w:val="24"/>
          <w:szCs w:val="24"/>
        </w:rPr>
        <w:t>в соответствии с функционально-медицинскими классами</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r>
    </w:p>
    <w:tbl>
      <w:tblPr>
        <w:tblW w:w="9571" w:type="dxa"/>
        <w:jc w:val="left"/>
        <w:tblInd w:w="52" w:type="dxa"/>
        <w:tblCellMar>
          <w:top w:w="102" w:type="dxa"/>
          <w:left w:w="62" w:type="dxa"/>
          <w:bottom w:w="102" w:type="dxa"/>
          <w:right w:w="62" w:type="dxa"/>
        </w:tblCellMar>
      </w:tblPr>
      <w:tblGrid>
        <w:gridCol w:w="675"/>
        <w:gridCol w:w="2325"/>
        <w:gridCol w:w="3300"/>
        <w:gridCol w:w="1575"/>
        <w:gridCol w:w="1696"/>
      </w:tblGrid>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N п/п</w:t>
            </w:r>
          </w:p>
        </w:tc>
        <w:tc>
          <w:tcPr>
            <w:tcW w:w="232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Наименование</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Группа III</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Группа II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Группа I</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Армспорт</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CP7, CP8,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CP5, CP6</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2</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Бадминтон</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3</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Баскетбол, в т.ч.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4,5 балла,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3,0; 3,5; 4,0 балла,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1,0; 1,5; 2,0; 2,5 балла</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4</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Биатлон</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LW2, LW3, LW4, LW6, LW8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LW5/7, LW9, LW12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LW10; LW10,5; LW11; LW11,5</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5</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Бильярд</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6</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Борьба вольная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7</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Борьба греко-римская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8</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Боулинг</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sz w:val="24"/>
                <w:szCs w:val="24"/>
              </w:rPr>
            </w:pPr>
            <w:r>
              <w:rPr>
                <w:rFonts w:cs="Times New Roman" w:ascii="Times New Roman" w:hAnsi="Times New Roman"/>
                <w:sz w:val="24"/>
                <w:szCs w:val="24"/>
              </w:rPr>
              <w:t>9</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Бочче</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CP3, CP4,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BC1, BC2, BC3, BC4 I, II</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10</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Велоспорт</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LC1, LC2, LC3, LC4, CP дивизион 4,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дивизион 2, CP дивизион 3, HC дивизион C,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CP дивизион 1, HC дивизион A, HC дивизион B</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Водное поло</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12</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Волейбол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 B, C,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13</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Волейбол - пляжный</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14</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Волейбол сидя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Спортсмены с ампутациями и прочими поражениями опорно-двигательного аппарата</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w:t>
            </w:r>
            <w:r>
              <w:rPr>
                <w:rFonts w:cs="Times New Roman" w:ascii="Times New Roman" w:hAnsi="Times New Roman"/>
                <w:sz w:val="24"/>
                <w:szCs w:val="24"/>
              </w:rPr>
              <w:t>5</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Гандбол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16</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Гимнастика спортивная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17</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Гимнастика художественная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18</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Гиревой спорт</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19</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Голбол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20</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Горные лыжи</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LW2, LW3/1, LW3/2, LW4, LW6/8, LW9/1, LW9/2,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LW1, LW5/7, LW12/2,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LW10, LW11, LW12/1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Городки</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sz w:val="24"/>
                <w:szCs w:val="24"/>
              </w:rPr>
            </w:pPr>
            <w:r>
              <w:rPr>
                <w:rFonts w:cs="Times New Roman" w:ascii="Times New Roman" w:hAnsi="Times New Roman"/>
                <w:sz w:val="24"/>
                <w:szCs w:val="24"/>
                <w:lang w:val="en-US"/>
              </w:rPr>
              <w:t xml:space="preserve">B3, 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lang w:val="en-US"/>
              </w:rPr>
            </w:pPr>
            <w:r>
              <w:rPr>
                <w:rFonts w:cs="Times New Roman" w:ascii="Times New Roman" w:hAnsi="Times New Roman"/>
                <w:sz w:val="24"/>
                <w:szCs w:val="24"/>
                <w:lang w:val="en-US"/>
              </w:rPr>
              <w:t>B2, 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rPr>
                <w:rFonts w:ascii="Times New Roman" w:hAnsi="Times New Roman" w:cs="Times New Roman"/>
                <w:sz w:val="24"/>
                <w:szCs w:val="24"/>
                <w:lang w:val="en-US"/>
              </w:rPr>
            </w:pPr>
            <w:r>
              <w:rPr>
                <w:rFonts w:cs="Times New Roman" w:ascii="Times New Roman" w:hAnsi="Times New Roman"/>
                <w:sz w:val="24"/>
                <w:szCs w:val="24"/>
                <w:lang w:val="en-US"/>
              </w:rPr>
              <w:t>B1,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22</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Гребля академическая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LTA (за исключением спортсменов классов B1, B2)</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TA</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23</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Дартс</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I, II, CP1, CP2, CP3, CP4, 51, 52, 53, 54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24</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Дзюдо</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25</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Карате</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26</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Керлинг</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A6, A7, A8, A9, CP7, CP8, 57, 58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CP5, CP6, 55, 56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I, II, CP1, CP2, CP3, CP4, 51, 52, 53, 54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27</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Конный спорт</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уровень IV, уровень III</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уровень II,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уровень I</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28</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Легкая атлетика Трек Метания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T40, T44, T46, T37, T38, T13, слабослышащие, глухие F40, F44, F46, F37, F38, F13,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T42, T43, T45, T35, T36, T12, T20, F42, F43, F45, F35, F36, F12, F20,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T51, T52, T53, T54, T32, T33, T34, T11, F51, F52, F53, F54, F55, F56, F57, F58, F32, F33, F34, F11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29</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Лыжные гонки</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LW2, LW3, LW4, LW6, LW8,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LW5/7, LW9, LW12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LW10; LW10,5; LW11; LW11,5</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30</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Парусный спорт</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классы 5, 6, 7</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класс 4</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классы 1, 2, 3</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Пауэрлифтинг</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A3, A4, CP7, CP8, спортсмены с ПОДА, относящиеся к категории "прочие",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A2, III, IV, V, 55, 56,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53, 54,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32</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Плавание</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S13, SB13, SM13, S14, SB14, SM14, S8, S9, S10, SB8, SB9,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S12, SB12, SM12, S5, S6, S7, SB5, SB6, SB7,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S11, SB11, SM11, S1, S2, S3, S4, SB1, SB2, SB3, SB4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33</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Регби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2,5; 3,0; 3,5 балла</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0,5; 1,0; 1,5; 2,0 балла</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34</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Сноуборд</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rHeight w:val="1395" w:hRule="atLeast"/>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rPr>
                <w:rFonts w:ascii="Times New Roman" w:hAnsi="Times New Roman" w:cs="Times New Roman"/>
                <w:sz w:val="24"/>
                <w:szCs w:val="24"/>
              </w:rPr>
            </w:pPr>
            <w:r>
              <w:rPr>
                <w:rFonts w:cs="Times New Roman" w:ascii="Times New Roman" w:hAnsi="Times New Roman"/>
                <w:sz w:val="24"/>
                <w:szCs w:val="24"/>
              </w:rPr>
              <w:t>35</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Спортивное ориентирование</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36</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Спортивный туризм</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37</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Стрельба из лука</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ARST</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ARW2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ARW1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38</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Стрельба пулевая</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A4, CP8, 57, 58, SH1,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A3, 55, 56, SH2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 A1, A2, 53, 54, SH3</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39</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Танцы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LWD2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LWD1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40</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Теннис настольный, в т.ч.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TT9, TT10, TT11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TT6, TT7, TT8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TT1, TT2, TT3, TT4, TT5</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Теннис, в т.ч.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A2, A3, A4, A5, A6, A7, A8, A9,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A1, III, IV, V,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rPr>
              <w:t>Игроки</w:t>
            </w:r>
            <w:r>
              <w:rPr>
                <w:rFonts w:cs="Times New Roman" w:ascii="Times New Roman" w:hAnsi="Times New Roman"/>
                <w:sz w:val="24"/>
                <w:szCs w:val="24"/>
                <w:lang w:val="en-US"/>
              </w:rPr>
              <w:t xml:space="preserve"> "Quad", I, II,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42</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Торбол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43</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Тхеквондо</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44</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Фехтование на колясках</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C</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45</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Футбол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46</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Футбол 5x5</w:t>
            </w:r>
          </w:p>
        </w:tc>
        <w:tc>
          <w:tcPr>
            <w:tcW w:w="3300"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B1</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47</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Футбол 7x7</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CP7, CP8</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CP5, CP6</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48</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Футбол ампутантов</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A2, A4, A6, A8</w:t>
            </w:r>
          </w:p>
        </w:tc>
        <w:tc>
          <w:tcPr>
            <w:tcW w:w="1575" w:type="dxa"/>
            <w:tcBorders>
              <w:top w:val="single" w:sz="4" w:space="0" w:color="000000"/>
              <w:left w:val="single" w:sz="4" w:space="0" w:color="000000"/>
              <w:bottom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49</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Футзал</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B3, INAS-FID, слабослышащие, 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B2,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snapToGrid w:val="false"/>
              <w:ind w:left="0" w:right="0" w:hanging="0"/>
              <w:jc w:val="center"/>
              <w:rPr>
                <w:rFonts w:ascii="Times New Roman" w:hAnsi="Times New Roman" w:cs="Times New Roman"/>
                <w:sz w:val="24"/>
                <w:szCs w:val="24"/>
              </w:rPr>
            </w:pPr>
            <w:r>
              <w:rPr>
                <w:rFonts w:cs="Times New Roman" w:ascii="Times New Roman" w:hAnsi="Times New Roman"/>
                <w:sz w:val="24"/>
                <w:szCs w:val="24"/>
              </w:rPr>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50</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Шахматы</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57, 58,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55, 56,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51, 52, 53, 54, CP1, CP2, CP3, CP4</w:t>
            </w:r>
          </w:p>
        </w:tc>
      </w:tr>
      <w:tr>
        <w:trPr/>
        <w:tc>
          <w:tcPr>
            <w:tcW w:w="675" w:type="dxa"/>
            <w:tcBorders>
              <w:top w:val="single" w:sz="4" w:space="0" w:color="000000"/>
              <w:left w:val="single" w:sz="4" w:space="0" w:color="000000"/>
              <w:bottom w:val="single" w:sz="4" w:space="0" w:color="000000"/>
            </w:tcBorders>
            <w:shd w:fill="auto" w:val="clear"/>
          </w:tcPr>
          <w:p>
            <w:pPr>
              <w:pStyle w:val="ConsPlusNormal"/>
              <w:ind w:left="0" w:right="0" w:hanging="0"/>
              <w:jc w:val="both"/>
              <w:rPr>
                <w:rFonts w:ascii="Times New Roman" w:hAnsi="Times New Roman" w:cs="Times New Roman"/>
                <w:sz w:val="24"/>
                <w:szCs w:val="24"/>
              </w:rPr>
            </w:pPr>
            <w:r>
              <w:rPr>
                <w:rFonts w:cs="Times New Roman" w:ascii="Times New Roman" w:hAnsi="Times New Roman"/>
                <w:sz w:val="24"/>
                <w:szCs w:val="24"/>
              </w:rPr>
              <w:t>51</w:t>
            </w:r>
          </w:p>
        </w:tc>
        <w:tc>
          <w:tcPr>
            <w:tcW w:w="2325" w:type="dxa"/>
            <w:tcBorders>
              <w:top w:val="single" w:sz="4" w:space="0" w:color="000000"/>
              <w:left w:val="single" w:sz="4" w:space="0" w:color="000000"/>
              <w:bottom w:val="single" w:sz="4" w:space="0" w:color="000000"/>
            </w:tcBorders>
            <w:shd w:fill="auto" w:val="clear"/>
            <w:vAlign w:val="center"/>
          </w:tcPr>
          <w:p>
            <w:pPr>
              <w:pStyle w:val="ConsPlusNormal"/>
              <w:ind w:left="0" w:right="0" w:hanging="0"/>
              <w:jc w:val="center"/>
              <w:rPr>
                <w:rFonts w:ascii="Times New Roman" w:hAnsi="Times New Roman" w:cs="Times New Roman"/>
                <w:sz w:val="24"/>
                <w:szCs w:val="24"/>
              </w:rPr>
            </w:pPr>
            <w:r>
              <w:rPr>
                <w:rFonts w:cs="Times New Roman" w:ascii="Times New Roman" w:hAnsi="Times New Roman"/>
                <w:sz w:val="24"/>
                <w:szCs w:val="24"/>
              </w:rPr>
              <w:t>Шашки</w:t>
            </w:r>
          </w:p>
        </w:tc>
        <w:tc>
          <w:tcPr>
            <w:tcW w:w="3300"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sz w:val="24"/>
                <w:szCs w:val="24"/>
              </w:rPr>
            </w:pPr>
            <w:r>
              <w:rPr>
                <w:rFonts w:cs="Times New Roman" w:ascii="Times New Roman" w:hAnsi="Times New Roman"/>
                <w:sz w:val="24"/>
                <w:szCs w:val="24"/>
                <w:lang w:val="en-US"/>
              </w:rPr>
              <w:t xml:space="preserve">B3, A2, A3, A4, A5, A6, A7, A8, A9, 57, 58, CP7, CP8, INAS-FID, </w:t>
            </w:r>
            <w:r>
              <w:rPr>
                <w:rFonts w:cs="Times New Roman" w:ascii="Times New Roman" w:hAnsi="Times New Roman"/>
                <w:sz w:val="24"/>
                <w:szCs w:val="24"/>
              </w:rPr>
              <w:t>слабослышащие</w:t>
            </w:r>
            <w:r>
              <w:rPr>
                <w:rFonts w:cs="Times New Roman" w:ascii="Times New Roman" w:hAnsi="Times New Roman"/>
                <w:sz w:val="24"/>
                <w:szCs w:val="24"/>
                <w:lang w:val="en-US"/>
              </w:rPr>
              <w:t xml:space="preserve">, </w:t>
            </w:r>
            <w:r>
              <w:rPr>
                <w:rFonts w:cs="Times New Roman" w:ascii="Times New Roman" w:hAnsi="Times New Roman"/>
                <w:sz w:val="24"/>
                <w:szCs w:val="24"/>
              </w:rPr>
              <w:t>глухие</w:t>
            </w:r>
          </w:p>
        </w:tc>
        <w:tc>
          <w:tcPr>
            <w:tcW w:w="1575" w:type="dxa"/>
            <w:tcBorders>
              <w:top w:val="single" w:sz="4" w:space="0" w:color="000000"/>
              <w:left w:val="single" w:sz="4" w:space="0" w:color="000000"/>
              <w:bottom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B2, A1, III, IV, V, 55, 56, CP5, CP6, SOI</w:t>
            </w:r>
          </w:p>
        </w:tc>
        <w:tc>
          <w:tcPr>
            <w:tcW w:w="1696" w:type="dxa"/>
            <w:tcBorders>
              <w:top w:val="single" w:sz="4" w:space="0" w:color="000000"/>
              <w:left w:val="single" w:sz="4" w:space="0" w:color="000000"/>
              <w:bottom w:val="single" w:sz="4" w:space="0" w:color="000000"/>
              <w:right w:val="single" w:sz="4" w:space="0" w:color="000000"/>
            </w:tcBorders>
            <w:shd w:fill="auto" w:val="clear"/>
          </w:tcPr>
          <w:p>
            <w:pPr>
              <w:pStyle w:val="ConsPlusNormal"/>
              <w:ind w:left="0" w:right="0" w:hanging="0"/>
              <w:jc w:val="center"/>
              <w:rPr>
                <w:rFonts w:ascii="Times New Roman" w:hAnsi="Times New Roman" w:cs="Times New Roman"/>
                <w:sz w:val="24"/>
                <w:szCs w:val="24"/>
                <w:lang w:val="en-US"/>
              </w:rPr>
            </w:pPr>
            <w:r>
              <w:rPr>
                <w:rFonts w:cs="Times New Roman" w:ascii="Times New Roman" w:hAnsi="Times New Roman"/>
                <w:sz w:val="24"/>
                <w:szCs w:val="24"/>
                <w:lang w:val="en-US"/>
              </w:rPr>
              <w:t>B1, I, II, 51, 52, 53, 54, CP1, CP2, CP3, CP4</w:t>
            </w:r>
          </w:p>
        </w:tc>
      </w:tr>
    </w:tbl>
    <w:p>
      <w:pPr>
        <w:pStyle w:val="Normal"/>
        <w:tabs>
          <w:tab w:val="clear" w:pos="708"/>
          <w:tab w:val="left" w:pos="8222" w:leader="none"/>
        </w:tabs>
        <w:jc w:val="both"/>
        <w:rPr>
          <w:rFonts w:ascii="Times New Roman" w:hAnsi="Times New Roman"/>
          <w:bCs/>
          <w:sz w:val="24"/>
          <w:szCs w:val="24"/>
          <w:lang w:val="en-US"/>
        </w:rPr>
      </w:pPr>
      <w:r>
        <w:rPr>
          <w:rFonts w:ascii="Times New Roman" w:hAnsi="Times New Roman"/>
          <w:bCs/>
          <w:sz w:val="24"/>
          <w:szCs w:val="24"/>
          <w:lang w:val="en-US"/>
        </w:rPr>
      </w:r>
    </w:p>
    <w:sectPr>
      <w:headerReference w:type="default" r:id="rId6"/>
      <w:type w:val="nextPage"/>
      <w:pgSz w:w="11906" w:h="16838"/>
      <w:pgMar w:left="1418" w:right="850" w:header="930" w:top="987" w:footer="0" w:bottom="111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Arial">
    <w:charset w:val="cc"/>
    <w:family w:val="swiss"/>
    <w:pitch w:val="variable"/>
  </w:font>
  <w:font w:name="Calibri">
    <w:charset w:val="cc"/>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36</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32</w:t>
    </w:r>
    <w:r>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36</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3">
    <w:lvl w:ilvl="0">
      <w:start w:val="3"/>
      <w:numFmt w:val="decimal"/>
      <w:lvlText w:val="%1."/>
      <w:lvlJc w:val="left"/>
      <w:pPr>
        <w:ind w:left="390" w:hanging="390"/>
      </w:pPr>
      <w:rPr/>
    </w:lvl>
    <w:lvl w:ilvl="1">
      <w:start w:val="8"/>
      <w:numFmt w:val="decimal"/>
      <w:lvlText w:val="%1.%2."/>
      <w:lvlJc w:val="left"/>
      <w:pPr>
        <w:ind w:left="1440" w:hanging="720"/>
      </w:pPr>
      <w:rPr/>
    </w:lvl>
    <w:lvl w:ilvl="2">
      <w:start w:val="1"/>
      <w:numFmt w:val="decimal"/>
      <w:lvlText w:val="%1.%2.%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3960" w:hanging="1080"/>
      </w:pPr>
      <w:rPr/>
    </w:lvl>
    <w:lvl w:ilvl="5">
      <w:start w:val="1"/>
      <w:numFmt w:val="decimal"/>
      <w:lvlText w:val="%1.%2.%3.%4.%5.%6."/>
      <w:lvlJc w:val="left"/>
      <w:pPr>
        <w:ind w:left="5040" w:hanging="1440"/>
      </w:pPr>
      <w:rPr/>
    </w:lvl>
    <w:lvl w:ilvl="6">
      <w:start w:val="1"/>
      <w:numFmt w:val="decimal"/>
      <w:lvlText w:val="%1.%2.%3.%4.%5.%6.%7."/>
      <w:lvlJc w:val="left"/>
      <w:pPr>
        <w:ind w:left="5760" w:hanging="1440"/>
      </w:pPr>
      <w:rPr/>
    </w:lvl>
    <w:lvl w:ilvl="7">
      <w:start w:val="1"/>
      <w:numFmt w:val="decimal"/>
      <w:lvlText w:val="%1.%2.%3.%4.%5.%6.%7.%8."/>
      <w:lvlJc w:val="left"/>
      <w:pPr>
        <w:ind w:left="6840" w:hanging="1800"/>
      </w:pPr>
      <w:rPr/>
    </w:lvl>
    <w:lvl w:ilvl="8">
      <w:start w:val="1"/>
      <w:numFmt w:val="decimal"/>
      <w:lvlText w:val="%1.%2.%3.%4.%5.%6.%7.%8.%9."/>
      <w:lvlJc w:val="left"/>
      <w:pPr>
        <w:ind w:left="7560" w:hanging="180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character" w:styleId="Style13">
    <w:name w:val="Основной шрифт абзаца"/>
    <w:qFormat/>
    <w:rPr/>
  </w:style>
  <w:style w:type="character" w:styleId="Style14">
    <w:name w:val="Основной текст_"/>
    <w:basedOn w:val="Style13"/>
    <w:qFormat/>
    <w:rPr>
      <w:sz w:val="26"/>
      <w:szCs w:val="26"/>
      <w:shd w:fill="FFFFFF" w:val="clear"/>
    </w:rPr>
  </w:style>
  <w:style w:type="character" w:styleId="21">
    <w:name w:val="Основной текст2"/>
    <w:basedOn w:val="Style14"/>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6"/>
      <w:u w:val="single"/>
      <w:vertAlign w:val="baseline"/>
      <w:lang w:val="ru-RU" w:bidi="ru-RU"/>
    </w:rPr>
  </w:style>
  <w:style w:type="character" w:styleId="10pt">
    <w:name w:val="Основной текст + 10 pt"/>
    <w:basedOn w:val="Style14"/>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0"/>
      <w:sz w:val="20"/>
      <w:szCs w:val="20"/>
      <w:u w:val="none"/>
      <w:vertAlign w:val="baseline"/>
      <w:lang w:val="ru-RU" w:bidi="ru-RU"/>
    </w:rPr>
  </w:style>
  <w:style w:type="character" w:styleId="11">
    <w:name w:val="Основной текст1"/>
    <w:basedOn w:val="Style14"/>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6"/>
      <w:u w:val="none"/>
      <w:vertAlign w:val="baseline"/>
      <w:lang w:val="ru-RU" w:bidi="ru-RU"/>
    </w:rPr>
  </w:style>
  <w:style w:type="character" w:styleId="Style15">
    <w:name w:val="Символ нумерации"/>
    <w:qFormat/>
    <w:rPr/>
  </w:style>
  <w:style w:type="paragraph" w:styleId="Style16" w:customStyle="1">
    <w:name w:val="Заголовок"/>
    <w:basedOn w:val="Normal"/>
    <w:next w:val="Style17"/>
    <w:qFormat/>
    <w:rsid w:val="0055234d"/>
    <w:pPr>
      <w:keepNext w:val="true"/>
      <w:spacing w:before="240" w:after="120"/>
    </w:pPr>
    <w:rPr>
      <w:rFonts w:ascii="Liberation Sans;Arial" w:hAnsi="Liberation Sans;Arial" w:eastAsia="Microsoft YaHei" w:cs="Mangal"/>
      <w:sz w:val="28"/>
      <w:szCs w:val="28"/>
    </w:rPr>
  </w:style>
  <w:style w:type="paragraph" w:styleId="Style17">
    <w:name w:val="Body Text"/>
    <w:basedOn w:val="Normal"/>
    <w:rsid w:val="0055234d"/>
    <w:pPr>
      <w:spacing w:lineRule="auto" w:line="360"/>
      <w:jc w:val="center"/>
    </w:pPr>
    <w:rPr>
      <w:rFonts w:ascii="Arial" w:hAnsi="Arial" w:cs="Arial"/>
      <w:b/>
      <w:sz w:val="28"/>
    </w:rPr>
  </w:style>
  <w:style w:type="paragraph" w:styleId="Style18">
    <w:name w:val="List"/>
    <w:basedOn w:val="Style17"/>
    <w:rsid w:val="0055234d"/>
    <w:pPr/>
    <w:rPr>
      <w:rFonts w:cs="Mangal"/>
    </w:rPr>
  </w:style>
  <w:style w:type="paragraph" w:styleId="Style19" w:customStyle="1">
    <w:name w:val="Caption"/>
    <w:basedOn w:val="Normal"/>
    <w:qFormat/>
    <w:rsid w:val="0055234d"/>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21">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2">
    <w:name w:val="Верхний и нижний колонтитулы"/>
    <w:basedOn w:val="Normal"/>
    <w:qFormat/>
    <w:pPr/>
    <w:rPr/>
  </w:style>
  <w:style w:type="paragraph" w:styleId="Style23" w:customStyle="1">
    <w:name w:val="Header"/>
    <w:basedOn w:val="Normal"/>
    <w:rsid w:val="0055234d"/>
    <w:pPr>
      <w:tabs>
        <w:tab w:val="clear" w:pos="708"/>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4" w:customStyle="1">
    <w:name w:val="Footer"/>
    <w:basedOn w:val="Normal"/>
    <w:rsid w:val="0055234d"/>
    <w:pPr>
      <w:tabs>
        <w:tab w:val="clear" w:pos="708"/>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5"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6"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6">
    <w:name w:val="Основной текст (6)"/>
    <w:basedOn w:val="Normal"/>
    <w:qFormat/>
    <w:pPr>
      <w:widowControl w:val="false"/>
      <w:shd w:fill="FFFFFF" w:val="clear"/>
      <w:spacing w:lineRule="exact" w:line="319"/>
      <w:jc w:val="center"/>
    </w:pPr>
    <w:rPr>
      <w:b/>
      <w:bCs/>
      <w:sz w:val="26"/>
      <w:szCs w:val="26"/>
    </w:rPr>
  </w:style>
  <w:style w:type="paragraph" w:styleId="22">
    <w:name w:val="Основной текст 2"/>
    <w:basedOn w:val="Normal"/>
    <w:qFormat/>
    <w:pPr>
      <w:jc w:val="center"/>
    </w:pPr>
    <w:rPr>
      <w:rFonts w:ascii="Arial" w:hAnsi="Arial" w:cs="Arial"/>
      <w:sz w:val="24"/>
    </w:rPr>
  </w:style>
  <w:style w:type="paragraph" w:styleId="ConsPlusTitle">
    <w:name w:val="ConsPlusTitle"/>
    <w:qFormat/>
    <w:pPr>
      <w:widowControl w:val="false"/>
      <w:autoSpaceDE w:val="false"/>
      <w:bidi w:val="0"/>
      <w:spacing w:before="0" w:after="0"/>
      <w:jc w:val="left"/>
    </w:pPr>
    <w:rPr>
      <w:rFonts w:ascii="Calibri" w:hAnsi="Calibri" w:eastAsia="Times New Roman" w:cs="Calibri"/>
      <w:b/>
      <w:bCs/>
      <w:color w:val="auto"/>
      <w:kern w:val="2"/>
      <w:sz w:val="22"/>
      <w:szCs w:val="22"/>
      <w:lang w:val="ru-RU" w:bidi="ar-SA" w:eastAsia="zh-CN"/>
    </w:rPr>
  </w:style>
  <w:style w:type="paragraph" w:styleId="31">
    <w:name w:val="Основной текст3"/>
    <w:basedOn w:val="Normal"/>
    <w:qFormat/>
    <w:pPr>
      <w:widowControl w:val="false"/>
      <w:shd w:fill="FFFFFF" w:val="clear"/>
      <w:spacing w:lineRule="exact" w:line="323"/>
      <w:jc w:val="center"/>
    </w:pPr>
    <w:rPr>
      <w:sz w:val="26"/>
      <w:szCs w:val="26"/>
    </w:rPr>
  </w:style>
  <w:style w:type="paragraph" w:styleId="ConsPlusCell">
    <w:name w:val="ConsPlusCell"/>
    <w:qFormat/>
    <w:pPr>
      <w:widowControl w:val="false"/>
      <w:autoSpaceDE w:val="false"/>
      <w:bidi w:val="0"/>
      <w:spacing w:before="0" w:after="0"/>
      <w:jc w:val="left"/>
    </w:pPr>
    <w:rPr>
      <w:rFonts w:ascii="Calibri" w:hAnsi="Calibri" w:eastAsia="Times New Roman" w:cs="Calibri"/>
      <w:color w:val="auto"/>
      <w:kern w:val="2"/>
      <w:sz w:val="22"/>
      <w:szCs w:val="22"/>
      <w:lang w:val="ru-RU" w:bidi="ar-SA" w:eastAsia="zh-CN"/>
    </w:rPr>
  </w:style>
  <w:style w:type="paragraph" w:styleId="Style27">
    <w:name w:val="Содержимое таблицы"/>
    <w:basedOn w:val="Normal"/>
    <w:qFormat/>
    <w:pPr>
      <w:suppressLineNumbers/>
    </w:pPr>
    <w:rPr/>
  </w:style>
  <w:style w:type="paragraph" w:styleId="Style28">
    <w:name w:val="Заголовок таблицы"/>
    <w:basedOn w:val="Style27"/>
    <w:qFormat/>
    <w:pPr>
      <w:suppressLineNumbers/>
      <w:jc w:val="center"/>
    </w:pPr>
    <w:rPr>
      <w:b/>
      <w:bCs/>
    </w:rPr>
  </w:style>
  <w:style w:type="paragraph" w:styleId="DocumentMap">
    <w:name w:val="DocumentMap"/>
    <w:qFormat/>
    <w:pPr>
      <w:widowControl/>
      <w:bidi w:val="0"/>
      <w:spacing w:before="0" w:after="0"/>
      <w:jc w:val="left"/>
      <w:textAlignment w:val="auto"/>
    </w:pPr>
    <w:rPr>
      <w:rFonts w:ascii="Calibri" w:hAnsi="Calibri" w:eastAsia="Times New Roman" w:cs="Calibri"/>
      <w:color w:val="auto"/>
      <w:kern w:val="2"/>
      <w:sz w:val="22"/>
      <w:szCs w:val="22"/>
      <w:lang w:val="ru-RU" w:eastAsia="ru-RU" w:bidi="ar-SA"/>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15">
    <w:name w:val="WW8Num15"/>
    <w:qFormat/>
  </w:style>
  <w:style w:type="numbering" w:styleId="WW8Num21">
    <w:name w:val="WW8Num21"/>
    <w:qFormat/>
  </w:style>
  <w:style w:type="numbering" w:styleId="WW8Num18">
    <w:name w:val="WW8Num18"/>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header" Target="header4.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Application>LibreOffice/6.3.4.2$Windows_X86_64 LibreOffice_project/60da17e045e08f1793c57c00ba83cdfce946d0aa</Application>
  <Pages>36</Pages>
  <Words>10371</Words>
  <Characters>69745</Characters>
  <CharactersWithSpaces>83226</CharactersWithSpaces>
  <Paragraphs>1291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2020-03-10T10:26:28Z</cp:lastPrinted>
  <dcterms:modified xsi:type="dcterms:W3CDTF">2020-03-10T10:27:09Z</dcterms:modified>
  <cp:revision>78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