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22.11.2019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625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1417" w:right="1417" w:hanging="0"/>
        <w:jc w:val="center"/>
        <w:rPr/>
      </w:pPr>
      <w:r>
        <w:rPr>
          <w:b/>
          <w:sz w:val="28"/>
          <w:szCs w:val="28"/>
        </w:rPr>
        <w:t>О внесении изменений в муниципальную программу «Развитие образования Шарангского муниципального района», утверждённую постановлением администрации Шарангского муниципального района от 01.10.2015 г. № 625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В связи с внедрением в 2019 году на территории Шарангского муниципального района системы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образования"</w:t>
      </w:r>
      <w:r>
        <w:rPr>
          <w:color w:val="000000"/>
          <w:sz w:val="28"/>
          <w:szCs w:val="28"/>
        </w:rPr>
        <w:t xml:space="preserve">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 и регионального проекта «Успех каждого ребенка», и участием в государственной программе «Капитальный ремонт образовательных организаций Нижегородской области, реализующих общеобразовательные программы» </w:t>
      </w:r>
      <w:r>
        <w:rPr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Внести в муниципальную программу «Развитие образования Шарангского муниципального района», утвержденную постановлением администрации Шарангского муниципального района от 01.10.2015 г. № 625, прилагаемые изменения.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Style25"/>
        <w:keepNext w:val="true"/>
        <w:widowControl/>
        <w:ind w:left="4536" w:hanging="0"/>
        <w:jc w:val="center"/>
        <w:rPr/>
      </w:pPr>
      <w:r>
        <w:rPr/>
        <w:t>Приложение</w:t>
      </w:r>
    </w:p>
    <w:p>
      <w:pPr>
        <w:pStyle w:val="Style25"/>
        <w:keepNext w:val="true"/>
        <w:widowControl/>
        <w:ind w:left="4536" w:hanging="0"/>
        <w:jc w:val="center"/>
        <w:rPr/>
      </w:pPr>
      <w:r>
        <w:rPr/>
        <w:t>к постановлению администрации</w:t>
      </w:r>
    </w:p>
    <w:p>
      <w:pPr>
        <w:pStyle w:val="Style25"/>
        <w:keepNext w:val="true"/>
        <w:widowControl/>
        <w:ind w:left="4536" w:hanging="0"/>
        <w:jc w:val="center"/>
        <w:rPr/>
      </w:pPr>
      <w:r>
        <w:rPr/>
        <w:t>Шарангского муниципального района</w:t>
      </w:r>
    </w:p>
    <w:p>
      <w:pPr>
        <w:pStyle w:val="Style25"/>
        <w:keepNext w:val="true"/>
        <w:widowControl/>
        <w:ind w:left="4536" w:hanging="0"/>
        <w:jc w:val="center"/>
        <w:rPr/>
      </w:pPr>
      <w:r>
        <w:rPr/>
        <w:t xml:space="preserve">от 22.11.2019 г. № 625 </w:t>
      </w:r>
    </w:p>
    <w:p>
      <w:pPr>
        <w:pStyle w:val="Style25"/>
        <w:keepNext w:val="true"/>
        <w:widowControl/>
        <w:jc w:val="center"/>
        <w:rPr/>
      </w:pPr>
      <w:r>
        <w:rPr/>
      </w:r>
    </w:p>
    <w:p>
      <w:pPr>
        <w:pStyle w:val="Style25"/>
        <w:keepNext w:val="true"/>
        <w:widowControl/>
        <w:jc w:val="center"/>
        <w:rPr/>
      </w:pPr>
      <w:r>
        <w:rPr/>
      </w:r>
    </w:p>
    <w:p>
      <w:pPr>
        <w:pStyle w:val="Style25"/>
        <w:keepNext w:val="true"/>
        <w:widowControl/>
        <w:jc w:val="center"/>
        <w:rPr/>
      </w:pPr>
      <w:r>
        <w:rPr/>
        <w:t xml:space="preserve">ИЗМЕНЕНИЯ, </w:t>
      </w:r>
    </w:p>
    <w:p>
      <w:pPr>
        <w:pStyle w:val="Style25"/>
        <w:keepNext w:val="true"/>
        <w:widowControl/>
        <w:jc w:val="center"/>
        <w:rPr/>
      </w:pPr>
      <w:r>
        <w:rPr/>
        <w:t>которые вносятся в муниципальную программу «Развитие образования Шарангского муниципального района», утвержденную постановлением администрации Шарангского муниципального района от 01.10.2015 г. № 625.</w:t>
      </w:r>
    </w:p>
    <w:p>
      <w:pPr>
        <w:pStyle w:val="Style25"/>
        <w:keepNext w:val="true"/>
        <w:widowControl/>
        <w:jc w:val="right"/>
        <w:rPr/>
      </w:pPr>
      <w:r>
        <w:rPr/>
      </w:r>
    </w:p>
    <w:p>
      <w:pPr>
        <w:pStyle w:val="Style25"/>
        <w:keepNext w:val="true"/>
        <w:widowControl/>
        <w:bidi w:val="0"/>
        <w:ind w:left="0" w:right="0" w:firstLine="567"/>
        <w:jc w:val="both"/>
        <w:rPr/>
      </w:pPr>
      <w:r>
        <w:rPr/>
        <w:t>1. Позицию 7 «Объемы бюджетных ассигнований Программы за счет средств местного бюджета (в разбивке по подпрограммам)» паспорта Программы изложить в следующей редакции: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55" w:type="dxa"/>
        <w:jc w:val="left"/>
        <w:tblInd w:w="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70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Объемы бюджетных ассигнований Программы за счет средств местного бюджета (в разбивке по подпрограммам)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Общий объем финансирования Программы в ценах соответствующих лет составляет тыс. руб., в том числе по годам в тыс. руб.: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76465,70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78173,30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80191,50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год – 103549,20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96309,40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Итого: 434719,10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Подпрограмма 1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2016 год – 41710,55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2017 год – 42368,60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2018 год – 43153,90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2019 год –62507,50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2020 год –55949,80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Итого: 245690,30</w:t>
            </w:r>
          </w:p>
          <w:p>
            <w:pPr>
              <w:pStyle w:val="Style25"/>
              <w:keepNext w:val="true"/>
              <w:widowControl/>
              <w:ind w:firstLine="300"/>
              <w:jc w:val="both"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Подпрограмма 2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2016 год – 10947,64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2017 год – 11393,70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2018 год – 11781,80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2019 год – 13691,70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2020 год – 13636,80</w:t>
            </w:r>
          </w:p>
          <w:p>
            <w:pPr>
              <w:pStyle w:val="Style25"/>
              <w:keepNext w:val="true"/>
              <w:widowControl/>
              <w:jc w:val="both"/>
              <w:rPr/>
            </w:pPr>
            <w:r>
              <w:rPr/>
              <w:t>Итого: 61451,60</w:t>
            </w:r>
          </w:p>
          <w:p>
            <w:pPr>
              <w:pStyle w:val="Style25"/>
              <w:keepNext w:val="true"/>
              <w:widowControl/>
              <w:ind w:firstLine="480"/>
              <w:jc w:val="both"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3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0,00</w:t>
            </w:r>
          </w:p>
          <w:p>
            <w:pPr>
              <w:pStyle w:val="Style25"/>
              <w:keepNext w:val="true"/>
              <w:widowControl/>
              <w:ind w:firstLine="300"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4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31,92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50,00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55,00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75,00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75,00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286,90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5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3767,88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2857,50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1648,20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2145,20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1518,00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11936,80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6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7,50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10,00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10,00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10,00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10,00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47,50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7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61,30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65,00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70,00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70,00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70,00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Итого: 336,30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Подпрограмма 8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2016 год – 19938,90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2017 год – 21428,50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2018 год – 23472,60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2019 год – 25049,80</w:t>
            </w:r>
          </w:p>
          <w:p>
            <w:pPr>
              <w:pStyle w:val="Style25"/>
              <w:keepNext w:val="true"/>
              <w:widowControl/>
              <w:rPr/>
            </w:pPr>
            <w:r>
              <w:rPr/>
              <w:t>2020 год – 24049,80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114939,60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».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sz w:val="24"/>
          <w:szCs w:val="24"/>
        </w:rPr>
        <w:t>2. В разделе 2 Программы: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sz w:val="24"/>
          <w:szCs w:val="24"/>
        </w:rPr>
        <w:t>2.1. Пункт 2.4 « Перечень основных мероприятий Программы» изложить в следующей редакции: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2.4. Перечень основных мероприятий Программы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tbl>
      <w:tblPr>
        <w:tblW w:w="15538" w:type="dxa"/>
        <w:jc w:val="left"/>
        <w:tblInd w:w="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4"/>
        <w:gridCol w:w="1424"/>
        <w:gridCol w:w="1680"/>
        <w:gridCol w:w="1245"/>
        <w:gridCol w:w="1"/>
        <w:gridCol w:w="1153"/>
        <w:gridCol w:w="2"/>
        <w:gridCol w:w="1153"/>
        <w:gridCol w:w="1"/>
        <w:gridCol w:w="1153"/>
        <w:gridCol w:w="2"/>
        <w:gridCol w:w="1153"/>
        <w:gridCol w:w="1"/>
        <w:gridCol w:w="1137"/>
        <w:gridCol w:w="2"/>
        <w:gridCol w:w="1125"/>
      </w:tblGrid>
      <w:tr>
        <w:trPr/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026" w:leader="none"/>
              </w:tabs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финансирования (по годам) за счёт средств местного бюджета, тыс. руб.</w:t>
            </w:r>
          </w:p>
        </w:tc>
      </w:tr>
      <w:tr>
        <w:trPr/>
        <w:tc>
          <w:tcPr>
            <w:tcW w:w="4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 Программы</w:t>
            </w:r>
            <w:r>
              <w:rPr>
                <w:sz w:val="24"/>
                <w:szCs w:val="24"/>
              </w:rPr>
              <w:t>: Формирование на территории Шарангского муниципального района образовательной системы обеспечивающей доступность качественного образования, отвечающего потребностям инновационного развития экономики, ожиданиям общества и каждого гражданина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76465,7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78173,3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80191,5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103549,2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96309,4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434719,1</w:t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 «Развитие общего образования»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42368,6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43153,9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62507,5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55949,8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245690,3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Совершенствование дошкольного образования как института социального развития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Модернизация содержания общего образования и образовательной среды с целью развития одарённости обучающихся для обеспечения готовности выпускников МБОУ к дальнейшему обучению и деятельности в высокотехнологичной экономике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«Основы религиозных культур и светской этики»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4.Формирование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Повышение качества и доступности образования для детей с ОВЗ и детей-инвалидов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Обеспечение деятельности общеобразовательных учреждений, подведомственных РОО, на основе муниципальных заданий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41710,5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42368,6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43063,9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62457,5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55899,8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245338,8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Субвенции на исполнение ОМСУ отдельных переданных государственных полномочий в сфере образования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351,5</w:t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«Развитие дополнительного образования и воспитания детей»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11393,7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11781,8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13691,7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13636,8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61451,6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единого воспитательного пространства в Шарангском муниципальном районе, развитие дополнительного образования на основе муниципальных заданий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9316,8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10082,9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11292,96</w:t>
            </w:r>
          </w:p>
          <w:p>
            <w:pPr>
              <w:pStyle w:val="Justppt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11238,1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51660,22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2.Обновление содержания дополнительного образования, повышение уровня профессионального мастерства педагогических работников сферы воспитания и дополнительного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Содействие интеллектуальному, духовно – нравственному развитию детей, реализации личности ребёнка в интересах общества, создание условий для выявления и творческого развития одарённых и творческих людей, развитие мотивации у детей к познанию и творчеству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4.Пофилактика асоциальных явлений в детской среде, формирование здорового образа жизни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МБОУ, МБДОУ,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5.Привлечение обучающихся к регулярным занятиям физической культурой и спортом, развитие различных видов спорта. Внедрение новых форм спортивно – массовых мероприятий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Экологическое воспитание и формирование экологической культуры у обучающихся; создание условий для вовлечения детей в поисково – исследовательскую деятельность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Мероприятия направленные на противодействие немедицинскому использованию наркотических средств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Организация мероприятий для обучающихся МБОУ – победителей и призёров муниципальных, областных, и всероссийских этапов конкурсов, олимпиад, соревнований отличников учёбы, лидеров и руководителей детских общественных объединений, советов старшеклассников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Организация отдыха и оздоровления детей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ДО, 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Нижегородской области «Управление социальной защиты населения Шарангского района» (по согласованию)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1699,2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8392,4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Организация отдыха и оздоровления детей, находящихся в трудной жизненной ситуации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ДО, 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Нижегородской области «Управление социальной защиты населения Шарангского района» (по согласованию)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419,4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Развитие моделей и форм детского самоуправления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napToGrid w:val="false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699,54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1399,08</w:t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 общественного управления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(при условии участия),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(при условии участия)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культуры оценки качества образования на уровне муниципалитета, отдельных учреждений,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 «Патриотическое воспитание детей Шарангского муниципального района»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286,9</w:t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Организация обучения детей начальным знаниям по основам военной службы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методических рекомендаций для педагогических работников по патриотическому воспитанию детей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и ведение электронных ресурсов сфере патриотического воспитания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4.Обеспечение информационного освещения мероприятий патриотической направленности в средствах массовой информации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Проведение комплекса мероприятий по воспитанию у детей Шарангского муниципального района навыков поведения в чрезвычайных ситуациях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Трансляция лучшего опыта работы в сфере патриотического воспитания детей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системы работы по патриотическому воспитанию детей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МБДОУ,</w:t>
            </w:r>
          </w:p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Проведение комплекса мероприятий по патриотическому воспитанию у детей Шарангского муниципального района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286,9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Организация поисковых, познавательных и научно – исследовательских мероприятий в сфере патриотического воспитания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 «Ресурсное обеспечение сферы образования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Шарангском муниципальном районе 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3767,9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2857,5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2145,20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11936,8</w:t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мер по поощрению и социальной поддержке руководящих и педагогических работников, а так же неработающих ветеранов педагогического труда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Муниципальные педагогические конференции, торжественные мероприятия с педагогами, торжественные мероприятия с педагогами, праздничные приёмы, юбилейные мероприятия подведомственных ОУ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1740,0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Укрепление материально – технической базы подведомственных ОУ, подготовка к новому учебному году, капитальный ремонт, аварийные работы, реализация планов укрепления материально – технической базы ОУ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5045,2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Реализация планов мероприятий противопожарной безопасности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4591,6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Модернизация и обновление автобусного парка для перевозки обучающихся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 «Социально-правовая защита детей»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системы социально – правовой защиты детей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Создание условий для личностного развития детей – сирот и детей, оставшихся без попечения родителе, улучшение качества их жизни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7 «Молодёжь»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1.Совершенствование нормативно – правовой базы реализации государственной молодёжной политики в Шарангском муниципальном районе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Комплекс мероприятий направленных на становление духовно – нравственного и патриотического воспитания молодёжи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Поддержка деятельности молодёжных общественных движений и волонтёрского движения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Профилактика асоциальных явлений в молодежной среде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Развитие системы военно-спортивных и военно-прикладных мероприятий для молодёжи призывного возраста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Информационное сопровождение мероприятий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Кадровое обеспечение реализации молодёжной политики в Шарангском муниципальном районе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8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19938,9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21428,5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23472,6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25049,8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114939,6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</w:rPr>
        <w:t>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both"/>
        <w:rPr/>
      </w:pPr>
      <w:r>
        <w:rPr>
          <w:sz w:val="24"/>
          <w:szCs w:val="24"/>
        </w:rPr>
        <w:t>2.2. В пункте 2.7 «Обоснование объема финансовых ресурсов»:</w:t>
      </w:r>
    </w:p>
    <w:p>
      <w:pPr>
        <w:pStyle w:val="Normal"/>
        <w:jc w:val="both"/>
        <w:rPr/>
      </w:pPr>
      <w:r>
        <w:rPr>
          <w:sz w:val="24"/>
          <w:szCs w:val="24"/>
        </w:rPr>
        <w:t>2.2.1. Подпункт 2.7.1 «Ресурсное обеспечение реализации Подпрограммы за счет средств местного бюджета» изложить в следующей редакции: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2.7.1 Ресурсное обеспечение реализации Подпрограммы за счёт средств местного бюджета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/>
      </w:pPr>
      <w:r>
        <w:rPr/>
        <w:t>Таблица 4</w:t>
      </w:r>
    </w:p>
    <w:tbl>
      <w:tblPr>
        <w:tblW w:w="15508" w:type="dxa"/>
        <w:jc w:val="left"/>
        <w:tblInd w:w="7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3435"/>
        <w:gridCol w:w="3015"/>
        <w:gridCol w:w="1185"/>
        <w:gridCol w:w="1140"/>
        <w:gridCol w:w="1124"/>
        <w:gridCol w:w="1244"/>
        <w:gridCol w:w="1079"/>
        <w:gridCol w:w="1306"/>
      </w:tblGrid>
      <w:tr>
        <w:trPr/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-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соисполнители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финансовых ресурсах по годам реализации Программы, тыс. рублей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Шарангского муниципального района»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76465,7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78173,3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80191,50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103549,20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96309,4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434719,10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76465,7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78173,3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80191,50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103549,20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96309,4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434719,10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42368,6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43153,90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62507,5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55949,8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245690,3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42368,6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43153,90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62507,5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55949,8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245690,3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дополнительного образования и воспитания детей»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10947,6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11393,7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11781,80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13691,7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13636,8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61451,6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11393,7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11781,80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13691,7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13636,8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61451,6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детей и молодёжи»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286,9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286,90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«Ресурсное обеспечение сферы образования в Шарангском муниципальном районе»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3767,9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2857,5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1648,20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2145,20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11936,80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11936,80</w:t>
            </w:r>
          </w:p>
        </w:tc>
      </w:tr>
      <w:tr>
        <w:trPr>
          <w:trHeight w:val="304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«Социально-правовая защита детей»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7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«Молодёжь»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8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19938,9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21428,5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23472,6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25049,8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25049,8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114939,60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Муниципальный заказчик – координатор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19938,9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21428,5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23472,6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24049,8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114939,6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Соисполнители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>
          <w:sz w:val="24"/>
          <w:szCs w:val="24"/>
        </w:rPr>
        <w:t>2.2.2. Подпункт 2.7.2 «Прогнозная оценка расходов на реализацию Программы за счет всех источников» изложить в следующей редакции: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« </w:t>
      </w:r>
      <w:r>
        <w:rPr>
          <w:b/>
          <w:sz w:val="24"/>
          <w:szCs w:val="24"/>
        </w:rPr>
        <w:t>2.7.2 Прогнозная оценка расходов на реализацию Программы за счёт всех источников</w:t>
      </w:r>
    </w:p>
    <w:p>
      <w:pPr>
        <w:pStyle w:val="Normal"/>
        <w:jc w:val="right"/>
        <w:rPr/>
      </w:pPr>
      <w:r>
        <w:rPr/>
        <w:t>Таблица 5</w:t>
      </w:r>
    </w:p>
    <w:tbl>
      <w:tblPr>
        <w:tblW w:w="15431" w:type="dxa"/>
        <w:jc w:val="left"/>
        <w:tblInd w:w="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4"/>
        <w:gridCol w:w="3000"/>
        <w:gridCol w:w="1139"/>
        <w:gridCol w:w="1123"/>
        <w:gridCol w:w="1139"/>
        <w:gridCol w:w="1304"/>
        <w:gridCol w:w="1123"/>
        <w:gridCol w:w="1247"/>
      </w:tblGrid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расходов (тыс. руб.), годы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"Развитие образования Шарангского муниципального района"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217880,3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232824,3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215296,8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252566,4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239082,6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1157680,4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76465,7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78173,3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80191,50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103549,20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96309,4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434719,10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141414,6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154651,0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135105,3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149017,20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142773,2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722961,3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179717,3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193932,6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173599,2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200125,4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193567,7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940942,2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42368,6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43153,9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62507,5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245690,3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138006,8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151564,0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130445,3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137617,9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137617,9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695251,9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дошкольного образования как института социального развития.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51262,1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50345,5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51252,3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259258,7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51262,1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50345,5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51252,3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259258,7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Модернизация содержания общего образования и образовательной среды с целью развития одаренности обучающихся для обеспечения готовности выпускников МБДОУ к дальнейшему обучению и деятельности в высокотехнологичной экономике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«Основы религиозных культур и светской этики».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802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Формирование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качества и доступности образования для детей с ОВЗ и детей-инвалидов.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Обеспечение деятельности общеобразовательных учреждений, подведомственных РОО, на основе муниципальных заданий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128178,7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138501,1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122963,7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148623,1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142065,4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680332,0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41634,0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42283,6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43063,9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62457,5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55899,8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245338,8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86544,7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96217,5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79899,8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86165,6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86165,6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434993,2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Субвенции на исполнение ОМСУ отдельных переданных государственных полномочий в сфере образования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1351,5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351,5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дополнительного образования и воспитания детей»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rPr>
                <w:b/>
                <w:b/>
              </w:rPr>
            </w:pPr>
            <w:r>
              <w:rPr>
                <w:b/>
              </w:rPr>
              <w:t>11181,5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11637,4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12075,2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14009,5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13954,6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62858,2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13691,7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61451,6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1406,6</w:t>
            </w:r>
          </w:p>
        </w:tc>
      </w:tr>
      <w:tr>
        <w:trPr>
          <w:trHeight w:val="369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единого воспитательного пространства в Шарангском муниципальном районе, развитие дополнительного образования на основе муниципальных заданий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9316,8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10082,9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11292,96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11238,06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51660,22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9316,8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10082,9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11292,96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11238,06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51660,22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2.Обновление содержания дополнительного образования, повышение уровня профессионального мастерства педагогических работников сферы воспитания и дополнительного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творческих людей, развитие мотивации у детей к познанию и творчеству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4.Профилактика асоциальных явлений в детской среде, формирование здорового образа жизни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5.Привлечение обучающихся к регулярным занятиям физической культурой и спортом, развитие различных видов спорта. Внедрение новых форм спортивно-массовых мероприятий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6.Экологическое воспитание и формирование экологической культуры у обучающихся; создание условий для вовлечения детей в поисково-исследовательскую деятельность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Мероприятия, направленные на противодействие немедицинскому использованию наркотических средств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8.Организация мероприятий для обучающихся МБДОУ – победителей и призеров муниципальных, областных и всероссийских этапов конкурсов, олимпиад, соревнований отличников учебы, лидеров и руководителей детских общественных объединений, советов старшеклассников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9.Организация отдыха и оздоровления детей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9799,0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8392,4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1406,6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10.Организация отдыха и оздоровления детей, находящихся в трудной жизненной ситуации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83,2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84,9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84,9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84,9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419,4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83,2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84,9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84,9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84,9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Justppt"/>
              <w:spacing w:before="0" w:after="0"/>
              <w:ind w:right="24" w:hanging="0"/>
              <w:jc w:val="center"/>
              <w:rPr/>
            </w:pPr>
            <w:r>
              <w:rPr/>
              <w:t>419,4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12.Развитие моделей и форм детского самоуправления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100" w:after="100"/>
              <w:ind w:right="24" w:hanging="0"/>
              <w:jc w:val="both"/>
              <w:rPr/>
            </w:pPr>
            <w:r>
              <w:rPr/>
              <w:t>13.Обеспечение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1399,08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1399,08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100" w:after="100"/>
              <w:jc w:val="center"/>
              <w:rPr/>
            </w:pPr>
            <w:r>
              <w:rPr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47" w:hRule="atLeast"/>
        </w:trPr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enpt"/>
              <w:spacing w:before="100" w:after="100"/>
              <w:jc w:val="both"/>
              <w:rPr/>
            </w:pPr>
            <w:r>
              <w:rPr/>
              <w:t>2. Формирование культуры оценки качества образования на уровне муниципалитета, отдельных учреждений, через повышение квалифицированного уровня кадров системы образования, организацию мониторинга качества образования, проведения анализа и использование результатов оценочных процедур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47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47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47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47" w:hRule="atLeast"/>
        </w:trPr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47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47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47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Justppt"/>
              <w:spacing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«Патриотическое воспитание детей и молодёжи»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286,9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286,9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обучения детей начальным знаниям по основам военной службы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методических рекомендаций для педагогических работников по патриотическому воспитанию детей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и ведение электронных ресурсов в сфере патриотического воспитания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Обеспечение информационного освещения мероприятий патриотической направленности в средствах массовой информации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Проведение комплекса мероприятий по воспитанию у детей Шарангского муниципального района навыков поведения в чрезвычайных ситуациях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Трансляция лучшего опыта работы в сфере патриотического воспитания детей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системы работы по патриотическому воспитанию детей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286,9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286,9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Организация поисковых, познавательных и научно-исследовательских мероприятий в сфере патриотического воспитания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«Ресурсное обеспечение сферы образования в Шарангском муниципальном районе»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3767,9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2857,5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1648,2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2145,2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18180,8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11936,8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6244,0</w:t>
            </w:r>
          </w:p>
        </w:tc>
      </w:tr>
      <w:tr>
        <w:trPr>
          <w:trHeight w:val="390" w:hRule="atLeast"/>
        </w:trPr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мер по поощрению и социальной поддержке руководящих и педагогических работников, а так же неработающих ветеранов педагогического труда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Муниципальные педагогические конференции, торжественные мероприятия с педагогами,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Укрепление материально-технической базы подведомственных ОУ, подготовка к новому учебному году, капитальный ремонт, аварийные работы, реализация планов укрепления материально-технической базы ОУ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6871,2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11289,2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5045,2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Реализация планов мероприятий противопожарной безопасности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4591,6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4591,6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Модернизация и обновление автобусного парка для перевозки обучающихся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«Социально-правовая защита детей»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2361,9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3765,6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4247,0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4247,0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16891,1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16843,6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системы социально-правовой защиты детей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16843,6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16843,6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Создание условий для личностного развития детей – сирот и детей, оставшихся без попечения родителей, улучшение качества их жизни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7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«Молодёжь»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нормативно-правовой базы реализации государственной молодёжной политики в Шарангском муниципальном районе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Комплекс мероприятий направленных на становление духовно-нравственного и патриотического воспитания молодёжи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3.Поддержка деятельности молодёжных общественных движений и волонтерского движения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4.Профилактика асоциальных явлений в молодежной среде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5.Развитие системы военно-спортивных и военно-прикладных мероприятий для молодёжи призывного возраста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6.Информационное сопровождение мероприятий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8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20850,8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21919,9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24083,6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25650,3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25650,3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118154,9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19938,9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23472,6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114939,6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600,5</w:t>
            </w:r>
          </w:p>
        </w:tc>
      </w:tr>
      <w:tr>
        <w:trPr/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</w:rPr>
        <w:t xml:space="preserve">». 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 В Разделе 3. «Подпрограммы программы»: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3.5. В подразделе 3.5.1. «Паспорт подпрограммы»: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rPr/>
      </w:pPr>
      <w:r>
        <w:rPr>
          <w:sz w:val="24"/>
          <w:szCs w:val="24"/>
        </w:rPr>
        <w:t>- в строке 6. «Объем бюджетных ассигнований Подпрограммы за счет средств местного бюджета»: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sz w:val="24"/>
          <w:szCs w:val="24"/>
        </w:rPr>
        <w:t>в позиции «2019» цифру «1816,6» заменить цифрой «2145,20»;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sz w:val="24"/>
          <w:szCs w:val="24"/>
        </w:rPr>
        <w:t>в позиции «2020» цифру «1198,2» заменить цифрой «1518,0»;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sz w:val="24"/>
          <w:szCs w:val="24"/>
        </w:rPr>
        <w:t>в позиции «Всего» цифру «11608,2» заменить цифрой «11936,8».</w:t>
      </w:r>
    </w:p>
    <w:sectPr>
      <w:headerReference w:type="default" r:id="rId5"/>
      <w:type w:val="nextPage"/>
      <w:pgSz w:orient="landscape" w:w="16838" w:h="11906"/>
      <w:pgMar w:left="600" w:right="653" w:header="1134" w:top="1648" w:footer="0" w:bottom="5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5">
    <w:name w:val="Нормальный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Cenpt">
    <w:name w:val="cenpt"/>
    <w:basedOn w:val="Normal"/>
    <w:qFormat/>
    <w:pPr>
      <w:spacing w:before="100" w:after="100"/>
    </w:pPr>
    <w:rPr>
      <w:rFonts w:eastAsia="Calibri"/>
      <w:sz w:val="24"/>
      <w:szCs w:val="24"/>
    </w:rPr>
  </w:style>
  <w:style w:type="paragraph" w:styleId="Justppt">
    <w:name w:val="justppt"/>
    <w:basedOn w:val="Normal"/>
    <w:qFormat/>
    <w:pPr>
      <w:spacing w:before="100" w:after="100"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LibreOffice/6.3.3.2$Windows_x86 LibreOffice_project/a64200df03143b798afd1ec74a12ab50359878ed</Application>
  <Pages>22</Pages>
  <Words>4316</Words>
  <Characters>24613</Characters>
  <CharactersWithSpaces>26774</CharactersWithSpaces>
  <Paragraphs>2255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2019-11-22T13:18:02Z</cp:lastPrinted>
  <dcterms:modified xsi:type="dcterms:W3CDTF">2019-11-22T13:19:30Z</dcterms:modified>
  <cp:revision>75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