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media/image1.png" ContentType="image/png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08</w:t>
      </w:r>
      <w:r>
        <w:rPr>
          <w:sz w:val="28"/>
          <w:szCs w:val="28"/>
        </w:rPr>
        <w:t>.02.2019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37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4" w:hanging="0"/>
        <w:jc w:val="center"/>
        <w:rPr/>
      </w:pPr>
      <w:r>
        <w:rPr>
          <w:b/>
          <w:sz w:val="28"/>
          <w:szCs w:val="28"/>
        </w:rPr>
        <w:t>О внесении изменений в постановление администрации Шарангского муниципального района от 01.12.2016 №638 «Об утверждении ведомственного плана мероприятий («дорожной карты») по содействию развитию конкуренции в Шарангском муниципальном районе Нижегородской области»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Title"/>
        <w:spacing w:lineRule="auto" w:line="360"/>
        <w:ind w:left="0" w:right="0" w:firstLine="709"/>
        <w:jc w:val="both"/>
        <w:rPr/>
      </w:pPr>
      <w:r>
        <w:rPr>
          <w:rFonts w:cs="Times New Roman" w:ascii="Times New Roman" w:hAnsi="Times New Roman"/>
          <w:b w:val="false"/>
          <w:sz w:val="28"/>
          <w:szCs w:val="28"/>
        </w:rPr>
        <w:t xml:space="preserve">В соответствии с Распоряжением Губернатора Нижегородской области от 30.12.2014 № 12268-р «Об утверждении Плана мероприятий («дорожной карты») по содействию развитию конкуренции в Нижегородской области» (с изменениями от 4 марта 2016 № 328-р), Уставом Шарангского муниципального района Нижегородской области, администрация Шарангского муниципального района Нижегородской области </w:t>
      </w:r>
      <w:r>
        <w:rPr>
          <w:rFonts w:cs="Times New Roman" w:ascii="Times New Roman" w:hAnsi="Times New Roman"/>
          <w:sz w:val="28"/>
          <w:szCs w:val="28"/>
        </w:rPr>
        <w:t>п о с т а н о в л я е т:</w:t>
      </w:r>
    </w:p>
    <w:p>
      <w:pPr>
        <w:pStyle w:val="Normal"/>
        <w:tabs>
          <w:tab w:val="clear" w:pos="709"/>
          <w:tab w:val="left" w:pos="9639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1. Внести в постановление администрации Шарангского муниципального района от 01.12.2016 №638 «Об утверждении ведомственного плана мероприятий («дорожной карты») по содействию развитию конкуренции в Шарангском муниципальном районе Нижегородской области» (далее - постановление) следующие изменения: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1.1. План мероприятий («дорожная карта») по содействию развитию конкуренции в Шарангском муниципальном районе Нижегородской области, утвержденный постановлением, изложить в новой прилагаемой редакции.</w:t>
      </w:r>
    </w:p>
    <w:p>
      <w:pPr>
        <w:pStyle w:val="Normal"/>
        <w:autoSpaceDE w:val="fals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rFonts w:cs="Times New Roman"/>
          <w:b w:val="false"/>
          <w:sz w:val="28"/>
          <w:szCs w:val="28"/>
        </w:rPr>
        <w:t>2. Контроль за исполнением настоящего постановления возложить на заместителя главы администрации Шарангского муниципального района, заведующую отделом экономики и имущественных отношений администрации Шарангского муниципального района Нижегородской области А.В. Медведеву.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itlePg/>
          <w:textDirection w:val="lrTb"/>
          <w:docGrid w:type="default" w:linePitch="360" w:charSpace="8192"/>
        </w:sect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 Зыков</w:t>
      </w:r>
    </w:p>
    <w:p>
      <w:pPr>
        <w:pStyle w:val="Normal"/>
        <w:widowControl/>
        <w:numPr>
          <w:ilvl w:val="0"/>
          <w:numId w:val="0"/>
        </w:numPr>
        <w:tabs>
          <w:tab w:val="clear" w:pos="709"/>
          <w:tab w:val="left" w:pos="8580" w:leader="none"/>
        </w:tabs>
        <w:suppressAutoHyphens w:val="true"/>
        <w:overflowPunct w:val="true"/>
        <w:autoSpaceDE w:val="false"/>
        <w:bidi w:val="0"/>
        <w:spacing w:before="0" w:after="0"/>
        <w:ind w:left="10772" w:right="0" w:hanging="0"/>
        <w:jc w:val="center"/>
        <w:outlineLvl w:val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Приложение </w:t>
      </w:r>
    </w:p>
    <w:p>
      <w:pPr>
        <w:pStyle w:val="Normal"/>
        <w:widowControl/>
        <w:numPr>
          <w:ilvl w:val="0"/>
          <w:numId w:val="0"/>
        </w:numPr>
        <w:tabs>
          <w:tab w:val="clear" w:pos="709"/>
          <w:tab w:val="left" w:pos="8580" w:leader="none"/>
        </w:tabs>
        <w:suppressAutoHyphens w:val="true"/>
        <w:overflowPunct w:val="true"/>
        <w:autoSpaceDE w:val="false"/>
        <w:bidi w:val="0"/>
        <w:spacing w:before="0" w:after="0"/>
        <w:ind w:left="10772" w:right="0" w:hanging="0"/>
        <w:jc w:val="center"/>
        <w:outlineLvl w:val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к постановлению администрации </w:t>
      </w:r>
    </w:p>
    <w:p>
      <w:pPr>
        <w:pStyle w:val="Normal"/>
        <w:widowControl/>
        <w:numPr>
          <w:ilvl w:val="0"/>
          <w:numId w:val="0"/>
        </w:numPr>
        <w:tabs>
          <w:tab w:val="clear" w:pos="709"/>
          <w:tab w:val="left" w:pos="8580" w:leader="none"/>
        </w:tabs>
        <w:suppressAutoHyphens w:val="true"/>
        <w:overflowPunct w:val="true"/>
        <w:autoSpaceDE w:val="false"/>
        <w:bidi w:val="0"/>
        <w:spacing w:before="0" w:after="0"/>
        <w:ind w:left="10772" w:right="0" w:hanging="0"/>
        <w:jc w:val="center"/>
        <w:outlineLvl w:val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Шарангского муниципального района</w:t>
      </w:r>
    </w:p>
    <w:p>
      <w:pPr>
        <w:pStyle w:val="Normal"/>
        <w:widowControl/>
        <w:numPr>
          <w:ilvl w:val="0"/>
          <w:numId w:val="0"/>
        </w:numPr>
        <w:tabs>
          <w:tab w:val="clear" w:pos="709"/>
          <w:tab w:val="left" w:pos="8580" w:leader="none"/>
        </w:tabs>
        <w:suppressAutoHyphens w:val="true"/>
        <w:overflowPunct w:val="true"/>
        <w:autoSpaceDE w:val="false"/>
        <w:bidi w:val="0"/>
        <w:spacing w:before="0" w:after="0"/>
        <w:ind w:left="10772" w:right="0" w:hanging="0"/>
        <w:jc w:val="center"/>
        <w:outlineLvl w:val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от 08.02.2019 № 37</w:t>
      </w:r>
    </w:p>
    <w:p>
      <w:pPr>
        <w:pStyle w:val="Normal"/>
        <w:widowControl/>
        <w:numPr>
          <w:ilvl w:val="0"/>
          <w:numId w:val="0"/>
        </w:numPr>
        <w:tabs>
          <w:tab w:val="clear" w:pos="709"/>
          <w:tab w:val="left" w:pos="8580" w:leader="none"/>
        </w:tabs>
        <w:suppressAutoHyphens w:val="true"/>
        <w:overflowPunct w:val="true"/>
        <w:autoSpaceDE w:val="false"/>
        <w:bidi w:val="0"/>
        <w:spacing w:before="0" w:after="0"/>
        <w:ind w:left="10772" w:right="0" w:hanging="0"/>
        <w:jc w:val="center"/>
        <w:outlineLvl w:val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</w:r>
    </w:p>
    <w:p>
      <w:pPr>
        <w:pStyle w:val="Normal"/>
        <w:widowControl/>
        <w:numPr>
          <w:ilvl w:val="0"/>
          <w:numId w:val="0"/>
        </w:numPr>
        <w:tabs>
          <w:tab w:val="clear" w:pos="709"/>
          <w:tab w:val="left" w:pos="8580" w:leader="none"/>
        </w:tabs>
        <w:suppressAutoHyphens w:val="true"/>
        <w:overflowPunct w:val="true"/>
        <w:autoSpaceDE w:val="false"/>
        <w:bidi w:val="0"/>
        <w:spacing w:before="0" w:after="0"/>
        <w:ind w:left="10772" w:right="0" w:hanging="0"/>
        <w:jc w:val="center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"УТВЕРЖДЕН</w:t>
      </w:r>
    </w:p>
    <w:p>
      <w:pPr>
        <w:pStyle w:val="Normal"/>
        <w:widowControl/>
        <w:numPr>
          <w:ilvl w:val="0"/>
          <w:numId w:val="0"/>
        </w:numPr>
        <w:tabs>
          <w:tab w:val="clear" w:pos="709"/>
          <w:tab w:val="left" w:pos="8580" w:leader="none"/>
        </w:tabs>
        <w:suppressAutoHyphens w:val="true"/>
        <w:overflowPunct w:val="true"/>
        <w:autoSpaceDE w:val="false"/>
        <w:bidi w:val="0"/>
        <w:spacing w:before="0" w:after="0"/>
        <w:ind w:left="10772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постановлением администрации </w:t>
      </w:r>
    </w:p>
    <w:p>
      <w:pPr>
        <w:pStyle w:val="Normal"/>
        <w:widowControl/>
        <w:numPr>
          <w:ilvl w:val="0"/>
          <w:numId w:val="0"/>
        </w:numPr>
        <w:tabs>
          <w:tab w:val="clear" w:pos="709"/>
          <w:tab w:val="left" w:pos="8580" w:leader="none"/>
        </w:tabs>
        <w:suppressAutoHyphens w:val="true"/>
        <w:overflowPunct w:val="true"/>
        <w:autoSpaceDE w:val="false"/>
        <w:bidi w:val="0"/>
        <w:spacing w:before="0" w:after="0"/>
        <w:ind w:left="10772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Шарангского муниципального района </w:t>
      </w:r>
    </w:p>
    <w:p>
      <w:pPr>
        <w:pStyle w:val="Normal"/>
        <w:widowControl/>
        <w:numPr>
          <w:ilvl w:val="0"/>
          <w:numId w:val="0"/>
        </w:numPr>
        <w:tabs>
          <w:tab w:val="clear" w:pos="709"/>
          <w:tab w:val="left" w:pos="8580" w:leader="none"/>
        </w:tabs>
        <w:suppressAutoHyphens w:val="true"/>
        <w:overflowPunct w:val="true"/>
        <w:autoSpaceDE w:val="false"/>
        <w:bidi w:val="0"/>
        <w:spacing w:before="0" w:after="0"/>
        <w:ind w:left="10772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01.12.2016 г № 683</w:t>
      </w:r>
    </w:p>
    <w:p>
      <w:pPr>
        <w:pStyle w:val="Normal"/>
        <w:widowControl/>
        <w:numPr>
          <w:ilvl w:val="0"/>
          <w:numId w:val="0"/>
        </w:numPr>
        <w:tabs>
          <w:tab w:val="clear" w:pos="709"/>
          <w:tab w:val="left" w:pos="8580" w:leader="none"/>
        </w:tabs>
        <w:suppressAutoHyphens w:val="true"/>
        <w:overflowPunct w:val="true"/>
        <w:autoSpaceDE w:val="false"/>
        <w:bidi w:val="0"/>
        <w:spacing w:before="0" w:after="0"/>
        <w:ind w:left="10772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tabs>
          <w:tab w:val="clear" w:pos="709"/>
          <w:tab w:val="left" w:pos="8580" w:leader="none"/>
        </w:tabs>
        <w:autoSpaceDE w:val="false"/>
        <w:spacing w:before="0" w:after="0"/>
        <w:ind w:left="0" w:right="0" w:hanging="0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</w:r>
    </w:p>
    <w:p>
      <w:pPr>
        <w:pStyle w:val="Normal"/>
        <w:spacing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План мероприятий («дорожная карта») </w:t>
      </w:r>
    </w:p>
    <w:p>
      <w:pPr>
        <w:pStyle w:val="Normal"/>
        <w:spacing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по содействию развитию конкуренции в </w:t>
      </w:r>
      <w:r>
        <w:rPr>
          <w:rFonts w:ascii="Times New Roman" w:hAnsi="Times New Roman"/>
          <w:sz w:val="24"/>
          <w:szCs w:val="24"/>
        </w:rPr>
        <w:t>Шарангском муниципальном районе Нижегородской области</w:t>
      </w:r>
    </w:p>
    <w:tbl>
      <w:tblPr>
        <w:tblW w:w="15810" w:type="dxa"/>
        <w:jc w:val="left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</w:tblPr>
      <w:tblGrid>
        <w:gridCol w:w="675"/>
        <w:gridCol w:w="2325"/>
        <w:gridCol w:w="2670"/>
        <w:gridCol w:w="2205"/>
        <w:gridCol w:w="2100"/>
        <w:gridCol w:w="2220"/>
        <w:gridCol w:w="2085"/>
        <w:gridCol w:w="1530"/>
      </w:tblGrid>
      <w:tr>
        <w:trPr>
          <w:tblHeader w:val="true"/>
          <w:trHeight w:val="767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№ </w:t>
            </w:r>
          </w:p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Проблема, на решение которой направлено мероприятие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Результат выполнения мероприятия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Сроки разработки и реализации мероприятия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Ответственные исполнители</w:t>
            </w:r>
          </w:p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Наименование целевого показателя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Значения целевого показателя</w:t>
            </w:r>
          </w:p>
        </w:tc>
      </w:tr>
      <w:tr>
        <w:trPr>
          <w:trHeight w:val="23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51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Мероприятия по содействию развитию конкуренции на приоритетных и социально значимых рынках</w:t>
            </w:r>
          </w:p>
        </w:tc>
      </w:tr>
      <w:tr>
        <w:trPr>
          <w:trHeight w:val="430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1.1</w:t>
            </w:r>
          </w:p>
        </w:tc>
        <w:tc>
          <w:tcPr>
            <w:tcW w:w="151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Рынок услуг детского отдыха и оздоровления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1.1.1</w:t>
            </w:r>
          </w:p>
        </w:tc>
        <w:tc>
          <w:tcPr>
            <w:tcW w:w="151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Рынок услуг детского отдыха и оздоровления на территории Шарангского муниципального района не развит, т.к частные организации, оказывающие услуги по организации отдыха и оздоровления детей, отсутствуют.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1.2</w:t>
            </w:r>
          </w:p>
        </w:tc>
        <w:tc>
          <w:tcPr>
            <w:tcW w:w="151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Рынок услуг дополнительного образования детей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1.2.1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связи с планируемым ростом численности детей в возрасте от 5 до 18 лет к 2020 году возникает необходимость создания частных организаций для предоставления услуги дополнительного образования детей. В районе данные услуги оказываются только муниципальными организациями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дополнительного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образования . Необходимость проведения семинаров и консультаций по вопросам создания негосударственных организаций, оказывающих услуги по дополнительному образованию детей.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Предоставление услуги дополнительного образования детей негосударственными организациями дополнительного образования.</w:t>
            </w:r>
          </w:p>
          <w:p>
            <w:pPr>
              <w:pStyle w:val="Normal"/>
              <w:shd w:fill="FFFFFF" w:val="clea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Увеличение числа детей, получающих услуги дополнительного образования в учреждениях дополнительного образования до 85%, в системе дополнительного образования на безе школ района до 95%. 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2016-2020 г.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образования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обучающих семинаров и консультаций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Создание негосударственных организаций дополнительного образования, ед.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Охват детей учреждениями дополнительного образования, %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Охват детей в системе дополнительного образования на базе школ района, %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менее 2-х в год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– 1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2016-80%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2017-81%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2018-82%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2019-83%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2020-85%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2016-90%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2017-91%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2018-92%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2019-93%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2020-95%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eastAsia="en-US" w:bidi="ar-SA"/>
              </w:rPr>
              <w:t>1.3.</w:t>
            </w:r>
          </w:p>
        </w:tc>
        <w:tc>
          <w:tcPr>
            <w:tcW w:w="151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eastAsia="Calibri" w:cs="Times New Roman"/>
                <w:b/>
                <w:b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eastAsia="en-US" w:bidi="ar-SA"/>
              </w:rPr>
              <w:t>Рынок услуг в сфере культуры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eastAsia="en-US" w:bidi="ar-SA"/>
              </w:rPr>
              <w:t>1.3.1.</w:t>
            </w:r>
          </w:p>
          <w:p>
            <w:pPr>
              <w:pStyle w:val="Style25"/>
              <w:jc w:val="center"/>
              <w:rPr>
                <w:rFonts w:ascii="Times New Roman" w:hAnsi="Times New Roman" w:eastAsia="Calibri" w:cs="Times New Roman"/>
                <w:b/>
                <w:b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eastAsia="en-US" w:bidi="ar-SA"/>
              </w:rPr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Недостаточное информирование о деятельности в сфере культуры некоммерческих организаций, способных обеспечить участие в социально-культурном развитии района. 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Проведение анализа состояния рынка услуг в сфере культуры и создание реестра организаций всех форм собственности в данной сфере.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Консультирование негосударственных организаций в сфере культуры по вопросам предоставления услуг населению, оказание методической помощи. Размещение информации о деятельности по оказанию услуг в сфере культуры в сети «Интернет» , на официальном сайте администрации района.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Открытость и доступность информации о деятельности в сфере культуры организаций всех форм собственности, в т.ч некоммерческих.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eastAsia="en-US" w:bidi="ar-SA"/>
              </w:rPr>
              <w:t>2016-2020 годы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культуры , Общественная организация « Местная национально –культурная автономия марийцев Шарангского района Нижегородской области»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Удельный вес региональных некоммерческих организаций, участвующих в оказании услуг в сфере культуры, включенных в банк данных о некоммерческих организациях, %.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2016 - 100%</w:t>
            </w:r>
          </w:p>
          <w:p>
            <w:pPr>
              <w:pStyle w:val="Normal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2017 - 100%</w:t>
            </w:r>
          </w:p>
          <w:p>
            <w:pPr>
              <w:pStyle w:val="Normal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2018 - 100%</w:t>
            </w:r>
          </w:p>
          <w:p>
            <w:pPr>
              <w:pStyle w:val="Normal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2019 - 100%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2020 - 100%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eastAsia="en-US" w:bidi="ar-SA"/>
              </w:rPr>
              <w:t>1.4.</w:t>
            </w:r>
          </w:p>
        </w:tc>
        <w:tc>
          <w:tcPr>
            <w:tcW w:w="151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eastAsia="Calibri" w:cs="Times New Roman"/>
                <w:b/>
                <w:b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eastAsia="en-US" w:bidi="ar-SA"/>
              </w:rPr>
              <w:t>Рынок услуг жилищно-коммунального хозяйства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eastAsia="en-US" w:bidi="ar-SA"/>
              </w:rPr>
              <w:t>1.4.1.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Необходимость снижения доли неэффективных муниципальных унитарных предприятий жилищно-коммунального хозяйства 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 2020 году до 0% 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Разработка комплексного плана мероприятий по повышению уровня эффективности и безубыточности муниципальных предприятий ЖКХ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Отсутствие муниципальных унитарных </w:t>
            </w:r>
          </w:p>
          <w:p>
            <w:pPr>
              <w:pStyle w:val="Normal"/>
              <w:autoSpaceDE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Предприятий в сфере ЖКХ,осуществляющих неэффективное управление. Передача в управление частным операторам на основе концессионных соглашений объектов жилищно-коммунального хозяйства.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– 2020 годы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Доля безубыточных муниципальных предприятий жилищно-коммунального хозяйства , %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2019– 100%</w:t>
            </w:r>
          </w:p>
          <w:p>
            <w:pPr>
              <w:pStyle w:val="Normal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– 100%</w:t>
            </w:r>
          </w:p>
          <w:p>
            <w:pPr>
              <w:pStyle w:val="Normal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eastAsia="en-US" w:bidi="ar-SA"/>
              </w:rPr>
              <w:t>1.4.2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Соблюдение требований Жилищного кодекса Российской Федерации по лицензированию организации, осуществляющей деятельность по управлению многоквартирными домами в Шарангском муниципальном районе 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Осуществление контроля за организацией, осуществляющей деятельность по управлению многоквартирными домами, получившей лицензию в 2015 году 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требований законодательства по недопущению отзыва лицензии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Органы местного самоуправления Шарангского муниципального района Нижегородской области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40" w:before="6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Доля управляющих организаций, получивших лицензии на осуществление деятельности по управлению многоквартирными домами от общего количества организаций, осуществляющих данный вид деятельности, 100%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2016 - 100%</w:t>
            </w:r>
          </w:p>
          <w:p>
            <w:pPr>
              <w:pStyle w:val="Normal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2017 - 100%</w:t>
            </w:r>
          </w:p>
          <w:p>
            <w:pPr>
              <w:pStyle w:val="Normal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2018 - 100%</w:t>
            </w:r>
          </w:p>
          <w:p>
            <w:pPr>
              <w:pStyle w:val="Normal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2019 - 100%</w:t>
            </w:r>
          </w:p>
          <w:p>
            <w:pPr>
              <w:pStyle w:val="Normal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2020 - 100%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eastAsia="en-US" w:bidi="ar-SA"/>
              </w:rPr>
              <w:t>1.4.3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Необходимость обеспечения предоставления органами местного самоуправления соответствующих данных в государственную информационную систему жилищно-коммунального хозяйства (далее - ГИС ЖКХ) в соответствии с Федеральным законом от 21 июля 2014 года № 209-ФЗ «О государственной информационной системе жилищно-коммунального хозяйства».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за работой по предоставлению необходимых данных в ГИС ЖКХ в соответствии с Федеральным законом от 21 июля 2014 года № 209-ФЗ «О государственной информационной системе жилищно-коммунального хозяйства».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Предоставление соответствующих данных в ГИС ЖКХ в соответствии с Федеральным законом от 21 июля 2014 года № 209-ФЗ «О государственной информационной системе жилищно-коммунального хозяйства».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 год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Шарангского муниципального района Нижегородской области, органы местного самоуправления Шарангского муниципального района Нижегородской области 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Объем информации, раскрываемый в соответствии с требованиями ГИС ЖКХ об отрасли ЖКХ, %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Доля организаций, внесших информацию в ГИС ЖКХ, от общего числа организаций, обязанных вносить необходимую информацию в ГИС ЖКХ, %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2016 - 100%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2017 - 100%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2018 - 100%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2019 - 100%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2020 - 100%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2016 - 100%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2017 - 100%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2018 - 100%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2019 - 100%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2020 - 100%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1.5.</w:t>
            </w:r>
          </w:p>
        </w:tc>
        <w:tc>
          <w:tcPr>
            <w:tcW w:w="151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eastAsia="Calibri" w:cs="Times New Roman"/>
                <w:b/>
                <w:b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eastAsia="en-US" w:bidi="ar-SA"/>
              </w:rPr>
              <w:t xml:space="preserve">Рынок розничной торговли </w:t>
            </w:r>
          </w:p>
        </w:tc>
      </w:tr>
      <w:tr>
        <w:trPr>
          <w:trHeight w:val="430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ucida Sans Unicode" w:ascii="Times New Roman" w:hAnsi="Times New Roman"/>
                <w:b/>
                <w:kern w:val="2"/>
                <w:sz w:val="24"/>
                <w:szCs w:val="24"/>
                <w:lang w:eastAsia="zh-CN" w:bidi="hi-IN"/>
              </w:rPr>
              <w:t>1.5.1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связи с вступлением в силу требований Федерального закона от 30 декабря 2006 года № 271-ФЗ «О розничных рынках и о внесении изменений в Трудовой кодекс Российской Федерации» размещение рынков должно осуществляться в капитальных зданиях (строениях, сооружениях). 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Розничных рынков в районе нет. 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Разъяснение требований инвесторам о необходимости выполнения требований Федерального закона «О розничных рынках и о внесении изменений в Трудовой кодекс Российской Федерации». 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Строительство розничного рынка в Шарангском муниципальном районе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Сохранение действующей ярмарки выходного дня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 территории района, проведение ярмарок в рамках праздничных мероприятий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2017-2020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Годы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2019-2020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Органы местного самоуправления муниципального района,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Количество розничных рынков на территории Шарангского муниципального района, ед. 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Доля оборота розничной торговли на розничных рынках и ярмарках в структуре оборота розничной торговли, %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2017 - 0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2018 - 0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2019 - 0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2020 - 1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2019-1,5%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2020-2,0%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1.6.</w:t>
            </w:r>
          </w:p>
        </w:tc>
        <w:tc>
          <w:tcPr>
            <w:tcW w:w="151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eastAsia="Calibri" w:cs="Times New Roman"/>
                <w:b/>
                <w:b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eastAsia="en-US" w:bidi="ar-SA"/>
              </w:rPr>
              <w:t xml:space="preserve">Рынок услуг перевозок пассажиров автомобильным транспортом на межмуниципальных маршрутах 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1.6.1.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Необходимость улучшения конкурентной среды посредством проведения конкурсных процедур при предоставлении права на осуществление перевозок.</w:t>
            </w:r>
          </w:p>
          <w:p>
            <w:pPr>
              <w:pStyle w:val="Normal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Организация проведения открытых конкурсов на право осуществления </w:t>
            </w:r>
          </w:p>
          <w:p>
            <w:pPr>
              <w:pStyle w:val="Normal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перевозок по межмуниципальному маршруту регулярных перевозок пассажиров и багажа автомобильным транспортом по нерегулируемым тарифам на территории Шарангского муниципального района.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Установление правовых и организационных основ транспортного обслуживания населения автомобильным транспортом общего пользования на территории Шарангского муниципального района для обеспечения равного доступа перевозчиков к оказанию услуг по перевозке пассажиров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2019-2020 годы 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конкурсных процедур на осуществление перевозок, ед.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Доля негосударственных (немуниципальных) перевозчиков на </w:t>
              <w:br/>
              <w:t>межмуниципальных маршрутах пассажирского автомобильного транспорта, %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 (по окончании срока действия муниципальных контрактов)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2019-100%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2020-100%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1.7.</w:t>
            </w:r>
          </w:p>
        </w:tc>
        <w:tc>
          <w:tcPr>
            <w:tcW w:w="151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eastAsia="Calibri" w:cs="Times New Roman"/>
                <w:b/>
                <w:b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eastAsia="en-US" w:bidi="ar-SA"/>
              </w:rPr>
              <w:t>Рынок услуг связи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  <w:t>1.7.1.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Наличие в Шарангском муниципальном районе населенных пунктов с низким уровнем проникновения стандартов высокоскоростного мобильного доступа в сеть «Интернет». Нет возможности выбора между несколькими компаниями-операторами связи, предоставляющими услуги мобильного ШПД в сеть «Интернет».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Оказание консультативной и организационной помощи операторам мобильной связи в размещении оборудования базовых станций на объектах муниципальной собственности на территории Шарангского муниципального района.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eastAsia="en-US" w:bidi="ar-SA"/>
              </w:rPr>
              <w:t>Увеличение количества поселений, имеющих возможность пользоваться услугами мобильного широкополосного доступа, предоставляемыми не менее чем 2 операторами</w:t>
            </w:r>
          </w:p>
          <w:p>
            <w:pPr>
              <w:pStyle w:val="Normal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eastAsia="en-US" w:bidi="ar-SA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2016 -2020 годы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Организационно -правовой отдел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eastAsia="en-US" w:bidi="ar-SA"/>
              </w:rPr>
              <w:t>Доля поселений, имеющих возможность пользоваться услугами мобильного широкополосного доступа, предоставляемыми не менее чем 2 операторами, %</w:t>
            </w:r>
          </w:p>
          <w:p>
            <w:pPr>
              <w:pStyle w:val="Style25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eastAsia="en-US" w:bidi="ar-SA"/>
              </w:rPr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eastAsia="en-US" w:bidi="ar-SA"/>
              </w:rPr>
              <w:t>2016 - 50%</w:t>
            </w:r>
          </w:p>
          <w:p>
            <w:pPr>
              <w:pStyle w:val="Style25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eastAsia="en-US" w:bidi="ar-SA"/>
              </w:rPr>
              <w:t>2017 - 60%</w:t>
            </w:r>
          </w:p>
          <w:p>
            <w:pPr>
              <w:pStyle w:val="Style25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eastAsia="en-US" w:bidi="ar-SA"/>
              </w:rPr>
              <w:t>2018 - 70%</w:t>
            </w:r>
          </w:p>
          <w:p>
            <w:pPr>
              <w:pStyle w:val="Style25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eastAsia="en-US" w:bidi="ar-SA"/>
              </w:rPr>
              <w:t>2019 - 80%</w:t>
            </w:r>
          </w:p>
          <w:p>
            <w:pPr>
              <w:pStyle w:val="Style25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eastAsia="en-US" w:bidi="ar-SA"/>
              </w:rPr>
              <w:t>2020 - 90%</w:t>
            </w:r>
          </w:p>
          <w:p>
            <w:pPr>
              <w:pStyle w:val="Style25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eastAsia="en-US" w:bidi="ar-SA"/>
              </w:rPr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  <w:t>1.7.2.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Низкий уровень развития конкуренции на рынке связи в отдаленных населенных пунктах районах с низкой плотностью населения. 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мониторинга по обеспечению услугами связи населенных пунктов Шарангского муниципального района 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данных по обеспечению услугами связи и разработка мероприятий по обеспечению услугами связи отдаленных малонаселенных пунктов.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2016 - 2020 годы 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Организационно -правовой о</w:t>
            </w: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тдел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Количество проведенных мониторингов, ед.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Ежегодно, не менее одного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1.8.</w:t>
            </w:r>
          </w:p>
        </w:tc>
        <w:tc>
          <w:tcPr>
            <w:tcW w:w="151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eastAsia="Calibri" w:cs="Times New Roman"/>
                <w:b/>
                <w:b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eastAsia="en-US" w:bidi="ar-SA"/>
              </w:rPr>
              <w:t>Рынок услуг социального обслуживания населения</w:t>
            </w:r>
          </w:p>
        </w:tc>
      </w:tr>
      <w:tr>
        <w:trPr>
          <w:trHeight w:val="445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1.8.1.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Спрос населения на услуги социального обслуживания и широкое распространение информационных технологий вызывает необходимость максимальной информировано-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сти граждан, в том числе с использованием сети «Интернет». 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rPr>
                <w:rFonts w:ascii="Times New Roman" w:hAnsi="Times New Roman" w:eastAsia="Calibri" w:cs="Times New Roman"/>
                <w:sz w:val="24"/>
                <w:szCs w:val="24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Размещение в средствах массовой информации и в сети "Интернет" информации о деятельности организаций социального обслуживания.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Создание и поддержание в актуальном состоянии официальных сайтов организаций социального обслуживания населения, размещение информации о деятельности данных организаций на официальном сайте администрации Шарангского муниципального района в сети «Интернет».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2016-2020 годы 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Управление социальной защиты населения Шарангского района (по согласованию), организационно -правовой отдел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Удельный вес организаций социального обслуживания, имеющих актуальные официальные сайты в сети "Интернет", от общего количества организаций, внесенных в Реестр поставщиков социальных услуг Нижегородской области, %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2016 - 100%</w:t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2017 - 100%</w:t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2018 - 100%</w:t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2019 - 100%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2020 - 100%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51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Системные мероприятия, направленные на развитие конкурентной среды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lang w:val="en-US"/>
              </w:rPr>
              <w:t>2.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51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 w:cs="Times New Roman"/>
                <w:b/>
                <w:b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Мероприятия, направленные на оптимизацию процедур муниципальных закупок.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2.1.1.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21"/>
              <w:spacing w:lineRule="auto" w:line="240" w:before="0" w:after="0"/>
              <w:ind w:left="0" w:hanging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Необходимость улучшения конкурентной среды при проведении конкурентных процедур по определению поставщиков (подрядчиков, исполнителей) и увеличения </w:t>
            </w:r>
            <w:r>
              <w:rPr>
                <w:rFonts w:cs="Times New Roman" w:ascii="Times New Roman" w:hAnsi="Times New Roman"/>
                <w:kern w:val="2"/>
                <w:sz w:val="24"/>
                <w:szCs w:val="24"/>
                <w:lang w:bidi="hi-IN"/>
              </w:rPr>
              <w:t xml:space="preserve">количества участников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на одну процедуру состоявшихся торгов для удовлетворения муниципальных нужд района.</w:t>
            </w:r>
          </w:p>
          <w:p>
            <w:pPr>
              <w:pStyle w:val="21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21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>
              <w:rPr>
                <w:rFonts w:cs="Times New Roman" w:ascii="Times New Roman" w:hAnsi="Times New Roman"/>
                <w:kern w:val="2"/>
                <w:sz w:val="24"/>
                <w:szCs w:val="24"/>
                <w:lang w:bidi="hi-IN"/>
              </w:rPr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Увеличение доли конкурентных процедур путем размещения извещений об осуществлении конкурентных процедур, в том числе совместных торгов, в единой информационной системе (www.zakupki.gov.ru), в сроки и порядке, установленном действующим законодательством.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конкурентных процедур, в том числе совместных торгов, повышение уровня конкуренции при осуществлении закупок с целью оптимизации закупочного процесса.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2018-2020</w:t>
            </w:r>
          </w:p>
          <w:p>
            <w:pPr>
              <w:pStyle w:val="Style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годы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Среднее количество участников конкурентных процедур определения поставщиков (подрядчиков, исполнителей) на одну процедуру состоявшихся торгов, ед.</w:t>
            </w:r>
          </w:p>
          <w:p>
            <w:pPr>
              <w:pStyle w:val="Normal"/>
              <w:autoSpaceDE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– 1,23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–1,5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– 2,0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2.2.</w:t>
            </w:r>
          </w:p>
        </w:tc>
        <w:tc>
          <w:tcPr>
            <w:tcW w:w="151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 w:cs="Times New Roman"/>
                <w:b/>
                <w:b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Мероприятия, направленные на устранение избыточного муниципального регулирования и снижение административных барьеров</w:t>
            </w:r>
          </w:p>
        </w:tc>
      </w:tr>
      <w:tr>
        <w:trPr>
          <w:trHeight w:val="572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2.2.1.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26"/>
              <w:spacing w:lineRule="auto" w:line="240" w:before="0" w:after="200"/>
              <w:ind w:left="0" w:hanging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zh-CN" w:bidi="hi-IN"/>
              </w:rPr>
              <w:t>Недостаточный уровень удовлетворенности населения качеством и условиями предоставления услуг. По итогам мониторинга общей удовлетворенности граждан качеством предоставления государственных и муниципальных услуг, проведенного в 2015 году, 18,5% опрошенных были перенаправлены для получения услуг в другие организации.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6"/>
              <w:spacing w:lineRule="auto" w:line="240"/>
              <w:ind w:lef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zh-CN" w:bidi="hi-IN"/>
              </w:rPr>
              <w:t>Проведение анализа практики реализации государственных услуг, относящихся к полномочиям субъекта Российской Федерации, а также муниципальных услуг на предмет соответствия такой практики статьям 15 и 16 Федерального закона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от 26 июля 2006 года № 135-ФЗ</w:t>
            </w: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zh-CN" w:bidi="hi-IN"/>
              </w:rPr>
              <w:t xml:space="preserve"> «О защите конкуренции».</w:t>
            </w:r>
          </w:p>
          <w:p>
            <w:pPr>
              <w:pStyle w:val="Style26"/>
              <w:spacing w:lineRule="auto" w:line="240" w:before="0" w:after="200"/>
              <w:ind w:left="0" w:hanging="0"/>
              <w:contextualSpacing/>
              <w:jc w:val="center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ru-RU" w:bidi="hi-IN"/>
              </w:rPr>
            </w:pPr>
            <w:r>
              <w:rPr>
                <w:rFonts w:eastAsia="Times New Roman" w:cs="Times New Roman" w:ascii="Times New Roman" w:hAnsi="Times New Roman"/>
                <w:kern w:val="2"/>
                <w:sz w:val="24"/>
                <w:szCs w:val="24"/>
                <w:lang w:eastAsia="ru-RU" w:bidi="hi-I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6"/>
              <w:spacing w:lineRule="auto" w:line="240" w:before="0" w:after="0"/>
              <w:ind w:left="0" w:hanging="0"/>
              <w:contextualSpacing/>
              <w:rPr>
                <w:rFonts w:ascii="Times New Roman" w:hAnsi="Times New Roman" w:eastAsia="Lucida Sans Unicode" w:cs="Times New Roman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zh-CN" w:bidi="hi-IN"/>
              </w:rPr>
              <w:t xml:space="preserve">Оптимизация предоставления муниципальных услуг.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6"/>
              <w:spacing w:before="0" w:after="200"/>
              <w:ind w:left="0" w:hanging="0"/>
              <w:contextualSpacing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2016-2020 годы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6"/>
              <w:spacing w:lineRule="auto" w:line="240" w:before="0" w:after="0"/>
              <w:ind w:left="0" w:hanging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ucida Sans Unicode" w:cs="Times New Roman" w:ascii="Times New Roman" w:hAnsi="Times New Roman"/>
                <w:kern w:val="2"/>
                <w:sz w:val="24"/>
                <w:szCs w:val="24"/>
                <w:lang w:eastAsia="zh-CN" w:bidi="hi-IN"/>
              </w:rPr>
              <w:t>Структурные подразделения администрации Шарангского муниципального района,</w:t>
            </w:r>
          </w:p>
          <w:p>
            <w:pPr>
              <w:pStyle w:val="Normal"/>
              <w:autoSpaceDE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органы местного самоуправления муниципального района, МБУ МФЦ 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Style26"/>
              <w:spacing w:before="0" w:after="200"/>
              <w:ind w:left="0" w:hanging="0"/>
              <w:contextualSpacing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органами исполнительной власти Нижегородской области совместно с</w:t>
            </w:r>
          </w:p>
          <w:p>
            <w:pPr>
              <w:pStyle w:val="Normal"/>
              <w:autoSpaceDE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органами местного самоуправления муниципальных районов Нижегородской области (по отраслевой принадлежности) предложений по оптимизации предоставления государственных и муниципальных услуг и учет их при разработке нормативных правовых актов Нижегородской области и муниципальных правовых актов.</w:t>
            </w:r>
          </w:p>
          <w:p>
            <w:pPr>
              <w:pStyle w:val="Style26"/>
              <w:spacing w:before="0" w:after="200"/>
              <w:ind w:left="0" w:hanging="0"/>
              <w:contextualSpacing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6"/>
              <w:ind w:left="0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2016-2020,</w:t>
            </w:r>
          </w:p>
          <w:p>
            <w:pPr>
              <w:pStyle w:val="Style26"/>
              <w:spacing w:before="0" w:after="200"/>
              <w:ind w:left="0" w:hanging="0"/>
              <w:contextualSpacing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ежегодно 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2.2.2.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связи с низкой информированностью субъекты предпринимательства государственные и муниципальные услуги получают не в многофункциональных центрах (далее – МФЦ)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предоставления государственных и муниципальных услуг.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Активное оповещение субъектов предпринимательской деятельности через газету «Знамя победы», официальный и информационный сайты администрации Шарангского муниципального района, АНО «Шарангский центр развития бизнеса» о возможности предоставления государственных и муниципальных услуг, оказываемых на территории района, в МФЦ.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 xml:space="preserve">В целях оптимизации процесса предоставление субъектам предпринимательства государственных и муниципальных услуг в МФЦ за счет реализации принципа «одного окна»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2017-2020 годы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отношений, АНО «Шарангский центр развития бизнеса»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Доля индивидуальных предпринимателей и юридических лиц, воспользовавшихся возможностью предоставления государственных и муниципальных услуг через МФЦ, %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2017-35%</w:t>
            </w:r>
          </w:p>
          <w:p>
            <w:pPr>
              <w:pStyle w:val="Style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2018-37%</w:t>
            </w:r>
          </w:p>
          <w:p>
            <w:pPr>
              <w:pStyle w:val="Style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2019-38%</w:t>
            </w:r>
          </w:p>
          <w:p>
            <w:pPr>
              <w:pStyle w:val="Style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2020-40%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2.2.3.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Необходимость снижения высоких административных барьеров для субъектов предприниматель-ской деятельности путем проведения оценки регулирующего воздействия проектов нормативных правовых актов и экспертизы действующих нормативных правовых актов, </w:t>
            </w:r>
            <w:r>
              <w:rPr>
                <w:rStyle w:val="Style14"/>
                <w:rFonts w:cs="Times New Roman" w:ascii="Times New Roman" w:hAnsi="Times New Roman"/>
                <w:b w:val="false"/>
                <w:sz w:val="24"/>
                <w:szCs w:val="24"/>
              </w:rPr>
              <w:t>затрагивающих вопросы предприниматель-ской и инвестиционной деятельности.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Внедрение и проведение процедур оценки регулирующего воздействия (далее – ОРВ) проектов нормативных правовых актов Шарангского муниципального района и экспертизы действующих нормативных правовых актов на предмет развития конкуренции.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Повышение качества государственного регулирования, обеспечение возможности учета мнений социальных групп и установления баланса интересов уже на стадии подготовки проекта нормативного правового акта.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2016-2020 годы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отношений,</w:t>
            </w:r>
          </w:p>
          <w:p>
            <w:pPr>
              <w:pStyle w:val="Normal"/>
              <w:autoSpaceDE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структурные подразделения администрации Шарангского муниципального района,</w:t>
            </w:r>
          </w:p>
          <w:p>
            <w:pPr>
              <w:pStyle w:val="Normal"/>
              <w:autoSpaceDE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органы местного самоуправления муниципального района 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Доля проектов нормативных актов, по которым проведена ОРВ, от общего количества принятых нормативных актов (для актов, подлежащих ОРВ), %</w:t>
            </w:r>
          </w:p>
          <w:p>
            <w:pPr>
              <w:pStyle w:val="Normal"/>
              <w:autoSpaceDE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2016 - 100%</w:t>
            </w:r>
          </w:p>
          <w:p>
            <w:pPr>
              <w:pStyle w:val="Style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2017 - 100%</w:t>
            </w:r>
          </w:p>
          <w:p>
            <w:pPr>
              <w:pStyle w:val="Style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2018 - 100%</w:t>
            </w:r>
          </w:p>
          <w:p>
            <w:pPr>
              <w:pStyle w:val="Style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2019 - 100%</w:t>
            </w:r>
          </w:p>
          <w:p>
            <w:pPr>
              <w:pStyle w:val="Style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2019 - 100%</w:t>
            </w:r>
          </w:p>
          <w:p>
            <w:pPr>
              <w:pStyle w:val="Style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2020 - 100%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2.3.</w:t>
            </w:r>
          </w:p>
        </w:tc>
        <w:tc>
          <w:tcPr>
            <w:tcW w:w="151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Мероприятия, направленные на совершенствование процессов управления объектами муниципальной собственности, а также ограничение влияния муниципальных предприятий на конкуренцию</w:t>
            </w:r>
          </w:p>
        </w:tc>
      </w:tr>
      <w:tr>
        <w:trPr>
          <w:trHeight w:val="486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2.3.1.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keepNext w:val="true"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Необходимость повышения эффективности управления муниципальными унитарными с учетом задач развития конкуренции за счет процесса приватизации объектов муниципальной собственности.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Утверждение и реализация Прогнозного плана приватизации муниципального имущества Шарангского муниципального района, согласно решения Земского собрания. </w:t>
            </w:r>
          </w:p>
          <w:p>
            <w:pPr>
              <w:pStyle w:val="ConsPlusNormal"/>
              <w:keepNext w:val="true"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keepNext w:val="true"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Повышение доходной части областного бюджета.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keepNext w:val="true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2016 - 2017 годы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ConsPlusNormal"/>
              <w:keepNext w:val="true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keepNext w:val="true"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Муниципальный правовой акт, ед</w:t>
            </w:r>
          </w:p>
          <w:p>
            <w:pPr>
              <w:pStyle w:val="ConsPlusNormal"/>
              <w:keepNext w:val="true"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keepNext w:val="true"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2016 – 1</w:t>
            </w:r>
          </w:p>
          <w:p>
            <w:pPr>
              <w:pStyle w:val="ConsPlusNormal"/>
              <w:keepNext w:val="true"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2017 – 1</w:t>
            </w:r>
          </w:p>
          <w:p>
            <w:pPr>
              <w:pStyle w:val="ConsPlusNormal"/>
              <w:keepNext w:val="true"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2018 – 1</w:t>
            </w:r>
          </w:p>
          <w:p>
            <w:pPr>
              <w:pStyle w:val="ConsPlusNormal"/>
              <w:keepNext w:val="true"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2019 – 1</w:t>
            </w:r>
          </w:p>
          <w:p>
            <w:pPr>
              <w:pStyle w:val="ConsPlusNormal"/>
              <w:keepNext w:val="true"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2020 - 1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2.3.2.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keepNext w:val="true"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Недопущение появления убыточных муниципальных предприятий района.</w:t>
            </w:r>
          </w:p>
          <w:p>
            <w:pPr>
              <w:pStyle w:val="ConsPlusNormal"/>
              <w:keepNext w:val="true"/>
              <w:ind w:hanging="0"/>
              <w:rPr>
                <w:rFonts w:ascii="Times New Roman" w:hAnsi="Times New Roman" w:cs="Times New Roman"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i/>
                <w:sz w:val="24"/>
                <w:szCs w:val="24"/>
              </w:rPr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keepNext w:val="true"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Проведение комплекса мероприятий по повышению эффективности деятельности муниципальных предприятий района, а именно: </w:t>
            </w:r>
          </w:p>
          <w:p>
            <w:pPr>
              <w:pStyle w:val="ConsPlusNormal"/>
              <w:keepNext w:val="true"/>
              <w:ind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передача убыточных предприятий в концессию;</w:t>
            </w:r>
          </w:p>
          <w:p>
            <w:pPr>
              <w:pStyle w:val="ConsPlusNormal"/>
              <w:keepNext w:val="true"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повышение качества работы действующих предприятий (сокращение расходов, оптимизация численности персонала).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keepNext w:val="true"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Увеличение доходов районного бюджета, повышение эффективности управления объектами муниципальной собственности.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keepNext w:val="true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ежегодно, до 2020 года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ConsPlusNormal"/>
              <w:keepNext w:val="true"/>
              <w:ind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keepNext w:val="true"/>
              <w:ind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Доля безубыточных предприятий, находящихся в муниципальной собственности района, от общего количества предприятий, ведущих хозяйственную деятельность, находящихся в муниципальной собственности, %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keepNext w:val="true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100%</w:t>
            </w:r>
          </w:p>
          <w:p>
            <w:pPr>
              <w:pStyle w:val="Normal"/>
              <w:keepNext w:val="true"/>
              <w:spacing w:lineRule="atLeast" w: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2.3.3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Необходимость обеспечения прозрачности при реализации имущества хозяйствующими субъектами, доля участия муниципального образования в которых составляет 50 и более процентов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хозяйствующими субъектами, доля участия муниципального образования в которых составляет 50 и более процентов, публичных торгов или иных конкурентных процедур при реализации имущества. </w:t>
            </w:r>
          </w:p>
          <w:p>
            <w:pPr>
              <w:pStyle w:val="ConsPlusNormal"/>
              <w:keepNext w:val="true"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Увеличение доли реализации имущества хозяйствующими субъектами, доля участия района в которых составляет 50 и более процентов, на основе публичных торгов или иных конкурентных процедур.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keepNext w:val="true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2016-2020</w:t>
            </w:r>
          </w:p>
          <w:p>
            <w:pPr>
              <w:pStyle w:val="ConsPlusNormal"/>
              <w:keepNext w:val="true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годы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ConsPlusNormal"/>
              <w:keepNext w:val="true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Реализация имущества хозяйствующими субъектами, доля участия района в которых составляет 50 и более процентов, на основе публичных торгов или иных конкурентных процедур. </w:t>
            </w:r>
          </w:p>
          <w:p>
            <w:pPr>
              <w:pStyle w:val="ConsPlusNormal"/>
              <w:keepNext w:val="true"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keepNext w:val="true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Постоянно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2.4.</w:t>
            </w:r>
          </w:p>
        </w:tc>
        <w:tc>
          <w:tcPr>
            <w:tcW w:w="151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 w:cs="Times New Roman"/>
                <w:b/>
                <w:b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 xml:space="preserve">Мероприятия, направленные на стимулирование новых предпринимательских инициатив за счет проведения образовательных и других мероприятий, обеспечивающих возможности для поиска, отбора и обучения потенциальных предпринимателей 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2.4.1.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sz w:val="24"/>
                <w:szCs w:val="24"/>
                <w:highlight w:val="white"/>
              </w:rPr>
              <w:t>Низкий уровень взаимодействия между малыми и средними предприятиями и органами государственной власти, местного самоуправления, общественными организациями по регулированию социально-экономических проблем.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sz w:val="24"/>
                <w:szCs w:val="24"/>
                <w:shd w:fill="FFFFFF" w:val="clear"/>
              </w:rPr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совещаний, круглых столов, конференций (форумов), единых информационных дней, пресс-конференций по вопросам развития предпринимательства (ведение диалога органов власти и бизнеса), организация советов малого и среднего бизнеса.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Выработка предложений по решению проблем и мероприятий в целях развития малого и среднего предпринимательства .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2016-2020 годы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отношений,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АНО «Шарангский центр поддержки бизнеса»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совместных проводимых мероприятий по вопросам развития предпринимательства, ед.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2016 - 1 </w:t>
            </w:r>
          </w:p>
          <w:p>
            <w:pPr>
              <w:pStyle w:val="Normal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2017 - 2</w:t>
            </w:r>
          </w:p>
          <w:p>
            <w:pPr>
              <w:pStyle w:val="Normal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2018 - 2</w:t>
            </w:r>
          </w:p>
          <w:p>
            <w:pPr>
              <w:pStyle w:val="Normal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2019 - 2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2020 - 2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2.4.2.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Низкий уровень доступности правовой помощи для субъектов малого и среднего предпринима-тельства на территории Нижегородской области в связи с высокой стоимостью юридических консультаций (средняя стоимость консультаций по вопросам, связанным с нарушением прав предпринимателей 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Оказание бесплатных консультационных услуг субъектам малого и среднего предпринимательства, в том числе структурным подразделениям малого и среднего бизнеса в органах местного самоуправления. 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Обеспечение субъектов предпринимательской деятельности информационной, консультационной, юридической поддержкой по вопросам ведения деятельности.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2016-2020 годы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отношений,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АНО «Шарангский центр поддержки бизнеса»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бесплатных предоставленных консультационных услуг субъектам малого и среднего предпринимательства, ед.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2016-2020г.</w:t>
            </w:r>
          </w:p>
          <w:p>
            <w:pPr>
              <w:pStyle w:val="Normal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не менее 20 ежегодно </w:t>
            </w:r>
          </w:p>
          <w:p>
            <w:pPr>
              <w:pStyle w:val="Normal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62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2.4.3.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Низкая степень заинтересованности молодых людей в возрасте от 18 до 30 лет к вовлечению в предпринимательскую деятельность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Организация мероприятий, направленных на вовлечение молодых людей в предпринимательскую деятельность (проведение конкурсов, олимпиад среди школьников, 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тренингов).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Создание условий для массового привлечения молодежи в предпринимательскую деятельность и формирование «правильного» имиджа молодого предпринимателя и российского предпринимательства в целом.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2016-2020 годы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отношений,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АНО «Шарангский центр поддержки бизнеса», отдел образования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участников мероприятий, направленных на вовлечение молодых людей в предпринимательскую деятельность, ед.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2016 - 3</w:t>
            </w:r>
          </w:p>
          <w:p>
            <w:pPr>
              <w:pStyle w:val="Normal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2017 - 3</w:t>
            </w:r>
          </w:p>
          <w:p>
            <w:pPr>
              <w:pStyle w:val="Normal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2018 - 4 </w:t>
            </w:r>
          </w:p>
          <w:p>
            <w:pPr>
              <w:pStyle w:val="Normal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2019 - 4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2020 - 5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2.5.</w:t>
            </w:r>
          </w:p>
        </w:tc>
        <w:tc>
          <w:tcPr>
            <w:tcW w:w="151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5"/>
              <w:jc w:val="both"/>
              <w:rPr>
                <w:rFonts w:ascii="Times New Roman" w:hAnsi="Times New Roman" w:cs="Times New Roman"/>
                <w:b/>
                <w:b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Мероприятия, направленные на обеспечение равных условий доступа к информации о реализации имущества, находящегося в собственности муниципальных образований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2.5.1.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keepNext w:val="true"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Недостаточная информирован-ность потенциальных участников</w:t>
            </w:r>
          </w:p>
          <w:p>
            <w:pPr>
              <w:pStyle w:val="ConsPlusNormal"/>
              <w:keepNext w:val="true"/>
              <w:ind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торгов по реализации имущества, находящегося в собственности Шарангского муниципального района. .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keepNext w:val="true"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Размещение информации о реализации , имущества, находящегося в муниципальной собственности, а также о предоставлении его в аренду в средствах массовой информации, в том числе в сети «Интернет».</w:t>
            </w:r>
          </w:p>
          <w:p>
            <w:pPr>
              <w:pStyle w:val="ConsPlusNormal"/>
              <w:keepNext w:val="true"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keepNext w:val="true"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Увеличение доходов бюджета за счет продажи, а также сдачи в аренду муниципального имущества и имущества, находящегося в муниципальной собственности района.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keepNext w:val="true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отношений,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keepNext w:val="true"/>
              <w:spacing w:lineRule="atLeast" w:line="240" w:before="6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Размещение информационных сообщений в средствах массовой информации по мере проведения аукционов по продаже или предоставлению имущества в аренду </w:t>
            </w:r>
          </w:p>
          <w:p>
            <w:pPr>
              <w:pStyle w:val="Normal"/>
              <w:keepNext w:val="true"/>
              <w:spacing w:lineRule="atLeast" w:line="240" w:before="6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keepNext w:val="true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2.6.</w:t>
            </w:r>
          </w:p>
        </w:tc>
        <w:tc>
          <w:tcPr>
            <w:tcW w:w="151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 w:cs="Times New Roman"/>
                <w:b/>
                <w:b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Мероприятия, направленные на содействие развитию практики применения механизмов государственно-частного партнерства, в том числе практики заключения концессионных соглашений, в социальной сфере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2.6.1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rPr>
                <w:rFonts w:ascii="Times New Roman" w:hAnsi="Times New Roman" w:eastAsia="Calibri" w:cs="Times New Roman"/>
                <w:sz w:val="24"/>
                <w:szCs w:val="24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Малая доля участия частного капитала в развитии социальной сферы района.</w:t>
            </w:r>
          </w:p>
          <w:p>
            <w:pPr>
              <w:pStyle w:val="ConsPlusNormal"/>
              <w:ind w:hanging="0"/>
              <w:rPr>
                <w:rFonts w:ascii="Times New Roman" w:hAnsi="Times New Roman" w:eastAsia="Calibri" w:cs="Times New Roman"/>
                <w:sz w:val="24"/>
                <w:szCs w:val="24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keepNext w:val="true"/>
              <w:ind w:hanging="0"/>
              <w:rPr>
                <w:rFonts w:ascii="Times New Roman" w:hAnsi="Times New Roman" w:eastAsia="Calibri" w:cs="Times New Roman"/>
                <w:sz w:val="24"/>
                <w:szCs w:val="24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Организация взаимовыгодного сотрудничества района с частными партнерами в целях создания, реконструкции, модернизации, обслуживания или эксплуатации объектов социальной сферы, в том числе обеспечение сохранения целевого использования муниципальных объектов при передачи их негосударственным организациям с применением механизмов государственно-частного партнерства.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keepNext w:val="true"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Привлечение частных инвестиций и повышение эффективности управления объектами муниципальной собственности в результате заключения соглашений о государственно-частном партнерстве, концессионных соглашений.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keepNext w:val="true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keepNext w:val="true"/>
              <w:ind w:hanging="0"/>
              <w:rPr>
                <w:rFonts w:ascii="Times New Roman" w:hAnsi="Times New Roman" w:eastAsia="Calibri" w:cs="Times New Roman"/>
                <w:sz w:val="24"/>
                <w:szCs w:val="24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Количество проектов в социальной сфере с применением механизмов государственно-частного партнерства, в том числе посредством заключения концессионного соглашения, не менее 1-го проекта в год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keepNext w:val="true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2017 - 1</w:t>
            </w:r>
          </w:p>
          <w:p>
            <w:pPr>
              <w:pStyle w:val="Normal"/>
              <w:keepNext w:val="true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2018 - 1</w:t>
            </w:r>
          </w:p>
          <w:p>
            <w:pPr>
              <w:pStyle w:val="Normal"/>
              <w:keepNext w:val="true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2019 - 1</w:t>
            </w:r>
          </w:p>
          <w:p>
            <w:pPr>
              <w:pStyle w:val="Normal"/>
              <w:keepNext w:val="true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2020 - 1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2.7.</w:t>
            </w:r>
          </w:p>
        </w:tc>
        <w:tc>
          <w:tcPr>
            <w:tcW w:w="151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 w:cs="Times New Roman"/>
                <w:b/>
                <w:b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Мероприятия, направленные на создание условий для развития конкуренции на рынке строительства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2.7.1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rPr>
                <w:rFonts w:ascii="Times New Roman" w:hAnsi="Times New Roman" w:eastAsia="Calibri" w:cs="Times New Roman"/>
                <w:sz w:val="24"/>
                <w:szCs w:val="24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Необходимость внедрения типового административного регламента (в случае его наличия) предоставления муниципальной услуги по выдаче разрешения на строительство и типового административного регламента предоставления муниципальной услуги по выдаче разрешения на ввод объекта в эксплуатацию.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eastAsia="en-US" w:bidi="ar-SA"/>
              </w:rPr>
              <w:t>Заключение соглашений с органами исполнительной власти Нижегородской области о внедрении типовых административных регламентов предоставления муниципальных услуг по выдаче разрешения на строительство и по выдаче разрешения на ввод объектов в эксплуатацию.</w:t>
            </w:r>
          </w:p>
          <w:p>
            <w:pPr>
              <w:pStyle w:val="Style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eastAsia="en-US" w:bidi="ar-SA"/>
              </w:rPr>
              <w:t>Разработка административного регламента предоставления муниципальной услуги по выдаче разрешения на строительство и административного регламента предоставления муниципальной услуги по выдаче разрешения на ввод объекта в эксплуатацию (при утверждении типовых регламентов).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eastAsia="en-US" w:bidi="ar-SA"/>
              </w:rPr>
              <w:t>Возникновение обязательств по соблюдению сроков и последовательности процедур при предоставлении муниципальных услуг по выдаче разрешения строительство и по выдаче разрешения на ввод объектов в эксплуатацию.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eastAsia="en-US" w:bidi="ar-SA"/>
              </w:rPr>
              <w:t>до 01.04.2017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отношений, отдел капитального строительства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eastAsia="en-US" w:bidi="ar-SA"/>
              </w:rPr>
              <w:t>Процент органов местного самоуправления, заключивших соглашения и соблюдающих сроки проведения процедур, %</w:t>
            </w:r>
          </w:p>
          <w:p>
            <w:pPr>
              <w:pStyle w:val="Style25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eastAsia="en-US" w:bidi="ar-SA"/>
              </w:rPr>
            </w:r>
          </w:p>
          <w:p>
            <w:pPr>
              <w:pStyle w:val="Style25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eastAsia="en-US" w:bidi="ar-SA"/>
              </w:rPr>
            </w:r>
          </w:p>
          <w:p>
            <w:pPr>
              <w:pStyle w:val="Style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eastAsia="en-US" w:bidi="ar-SA"/>
              </w:rPr>
              <w:t>Недопущение нарушения сроков проведения процедур, необходимых для получения разрешения на строительство, дней</w:t>
            </w:r>
          </w:p>
          <w:p>
            <w:pPr>
              <w:pStyle w:val="Style25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eastAsia="en-US" w:bidi="ar-SA"/>
              </w:rPr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keepNext w:val="true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2016 - 0%</w:t>
            </w:r>
          </w:p>
          <w:p>
            <w:pPr>
              <w:pStyle w:val="Normal"/>
              <w:keepNext w:val="true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2017 - 50%</w:t>
            </w:r>
          </w:p>
          <w:p>
            <w:pPr>
              <w:pStyle w:val="Normal"/>
              <w:keepNext w:val="true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2018 - 100%</w:t>
            </w:r>
          </w:p>
          <w:p>
            <w:pPr>
              <w:pStyle w:val="Normal"/>
              <w:keepNext w:val="true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2019 - 100%</w:t>
            </w:r>
          </w:p>
          <w:p>
            <w:pPr>
              <w:pStyle w:val="Style25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eastAsia="en-US" w:bidi="ar-SA"/>
              </w:rPr>
              <w:t>2020 - 100%</w:t>
            </w:r>
          </w:p>
          <w:p>
            <w:pPr>
              <w:pStyle w:val="Normal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eastAsia="en-US" w:bidi="ar-SA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keepNext w:val="true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keepNext w:val="true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keepNext w:val="true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2016 - 30</w:t>
            </w:r>
          </w:p>
          <w:p>
            <w:pPr>
              <w:pStyle w:val="Normal"/>
              <w:keepNext w:val="true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2017 - 30</w:t>
            </w:r>
          </w:p>
          <w:p>
            <w:pPr>
              <w:pStyle w:val="Normal"/>
              <w:keepNext w:val="true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2018 - 30</w:t>
            </w:r>
          </w:p>
          <w:p>
            <w:pPr>
              <w:pStyle w:val="Normal"/>
              <w:keepNext w:val="true"/>
              <w:spacing w:lineRule="atLeast" w: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2019 - 30</w:t>
            </w:r>
          </w:p>
          <w:p>
            <w:pPr>
              <w:pStyle w:val="Style25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eastAsia="en-US" w:bidi="ar-SA"/>
              </w:rPr>
              <w:t>2020 - 30</w:t>
            </w:r>
          </w:p>
          <w:p>
            <w:pPr>
              <w:pStyle w:val="Normal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eastAsia="en-US" w:bidi="ar-SA"/>
              </w:rPr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2.8.</w:t>
            </w:r>
          </w:p>
        </w:tc>
        <w:tc>
          <w:tcPr>
            <w:tcW w:w="151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keepNext w:val="true"/>
              <w:spacing w:lineRule="atLeast" w:line="240"/>
              <w:rPr>
                <w:rFonts w:ascii="Times New Roman" w:hAnsi="Times New Roman"/>
                <w:b/>
                <w:b/>
                <w:i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Организация мониторинга состояния и развития конкурентной среды на рынках товаров и услуг Нижегородской области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2.8.1.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Мониторинг оценки состояния конкурентной среды осуществляется с целью формирования показателей для анализа деятельности и подготовки выводов и предложений по совершенствованию деятельности органов местного самоуправления Шарангского муниципального района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Организация и проведение мониторингов:</w:t>
            </w:r>
          </w:p>
          <w:p>
            <w:pPr>
              <w:pStyle w:val="Style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оценки состояния конкурентной среды и административных барьеров субъектами предпринимательской деятельности;</w:t>
            </w:r>
          </w:p>
          <w:p>
            <w:pPr>
              <w:pStyle w:val="Style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удовлетворенности потребителей качеством товаров и услуг на товарных рынках региона и состоянием ценовой конкуренции;</w:t>
            </w:r>
          </w:p>
          <w:p>
            <w:pPr>
              <w:pStyle w:val="Style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удовлетворенности субъектов предпринимательской деятельности и потребителей товаров и услуг качеством (уровнем доступности, понятности и удобства получения) официальной информации о состоянии конкурентной среды на рынках товаров и услуг и деятельности по содействию развитию конкуренции в районе, размещаемой уполномоченным органом.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Получение данных для:</w:t>
            </w:r>
          </w:p>
          <w:p>
            <w:pPr>
              <w:pStyle w:val="Normal"/>
              <w:autoSpaceDE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формирования процесса анализа деятельности и планирования мероприятий по содействию развитию конкуренции;</w:t>
            </w:r>
          </w:p>
          <w:p>
            <w:pPr>
              <w:pStyle w:val="Normal"/>
              <w:autoSpaceDE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корректировки «дорожной карты» по содействию развитию конкуренции;</w:t>
            </w:r>
          </w:p>
          <w:p>
            <w:pPr>
              <w:pStyle w:val="Normal"/>
              <w:autoSpaceDE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выработки показателей развития конкуренции на предстоящий период.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2016-2020 годы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Отдел экономики и имущественных отношений, отдел образования, отдел культуры, управление финансов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Количество проведенных мониторингов, ед.</w:t>
            </w:r>
          </w:p>
          <w:p>
            <w:pPr>
              <w:pStyle w:val="Style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Style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Style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2016 – 1</w:t>
            </w:r>
          </w:p>
          <w:p>
            <w:pPr>
              <w:pStyle w:val="Style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2017 – 1</w:t>
            </w:r>
          </w:p>
          <w:p>
            <w:pPr>
              <w:pStyle w:val="Style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2018 – 1</w:t>
            </w:r>
          </w:p>
          <w:p>
            <w:pPr>
              <w:pStyle w:val="Style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2019 – 2</w:t>
            </w:r>
          </w:p>
          <w:p>
            <w:pPr>
              <w:pStyle w:val="Style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2020 – 2</w:t>
            </w:r>
          </w:p>
          <w:p>
            <w:pPr>
              <w:pStyle w:val="Style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2.8.2.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Недостаточная открытость и прозрачность деятельности субъектов естественных монополий и защиты интересов потребителей. 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Организация работы по информированию потребителей о размещении информации в сети «Интернет» о деятельности субъектов естественных монополий 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Перечень интернет-ресурсов субъектов естественных монополий, содержащих сведения о раскрытии информации в сети «Интернет» о деятельности субъектов естественных монополий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соответствии с действующим законодательством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Шарангского муниципального района </w:t>
            </w:r>
          </w:p>
          <w:p>
            <w:pPr>
              <w:pStyle w:val="Style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Доля субъектов естественных монополий, о деятельности которых размещена информация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1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2016 - 100%</w:t>
            </w:r>
          </w:p>
          <w:p>
            <w:pPr>
              <w:pStyle w:val="Style21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2017 - 100%</w:t>
            </w:r>
          </w:p>
          <w:p>
            <w:pPr>
              <w:pStyle w:val="Style21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2018 - 100%</w:t>
            </w:r>
          </w:p>
          <w:p>
            <w:pPr>
              <w:pStyle w:val="Style21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2019 - 100%</w:t>
            </w:r>
          </w:p>
          <w:p>
            <w:pPr>
              <w:pStyle w:val="Style2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2020 - 100%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2.9.</w:t>
            </w:r>
          </w:p>
        </w:tc>
        <w:tc>
          <w:tcPr>
            <w:tcW w:w="151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 w:cs="Times New Roman"/>
                <w:b/>
                <w:b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Организационные мероприятия по внедрению Стандарта развития конкуренции</w:t>
            </w:r>
          </w:p>
        </w:tc>
      </w:tr>
      <w:tr>
        <w:trPr>
          <w:trHeight w:val="855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2.9.1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Style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rPr>
                <w:rFonts w:ascii="Times New Roman" w:hAnsi="Times New Roman" w:eastAsia="Lucida Sans Unicode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Недостаточный</w:t>
            </w:r>
          </w:p>
          <w:p>
            <w:pPr>
              <w:pStyle w:val="Normal"/>
              <w:autoSpaceDE w:val="false"/>
              <w:rPr>
                <w:rFonts w:ascii="Times New Roman" w:hAnsi="Times New Roman" w:eastAsia="Lucida Sans Unicode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уровень мероприятий</w:t>
            </w:r>
          </w:p>
          <w:p>
            <w:pPr>
              <w:pStyle w:val="Normal"/>
              <w:autoSpaceDE w:val="false"/>
              <w:rPr>
                <w:rFonts w:ascii="Times New Roman" w:hAnsi="Times New Roman" w:eastAsia="Lucida Sans Unicode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по развитию</w:t>
            </w:r>
          </w:p>
          <w:p>
            <w:pPr>
              <w:pStyle w:val="Normal"/>
              <w:autoSpaceDE w:val="false"/>
              <w:rPr>
                <w:rFonts w:ascii="Times New Roman" w:hAnsi="Times New Roman" w:eastAsia="Lucida Sans Unicode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конкуренции на</w:t>
            </w:r>
          </w:p>
          <w:p>
            <w:pPr>
              <w:pStyle w:val="Normal"/>
              <w:autoSpaceDE w:val="false"/>
              <w:rPr>
                <w:rFonts w:ascii="Times New Roman" w:hAnsi="Times New Roman" w:eastAsia="Lucida Sans Unicode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муниципальном</w:t>
            </w:r>
          </w:p>
          <w:p>
            <w:pPr>
              <w:pStyle w:val="Style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уровне.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rPr>
                <w:rFonts w:ascii="Times New Roman" w:hAnsi="Times New Roman" w:eastAsia="Lucida Sans Unicode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Заключение соглашения о внедрении Стандарта развития конкуренции на территории Нижегородской области между министерством экономики и конкурентной политики Нижегородской области и администрацией Шарангского муниципального района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rPr>
                <w:rFonts w:ascii="Times New Roman" w:hAnsi="Times New Roman" w:eastAsia="Lucida Sans Unicode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Внедрение Стандарта развития конкуренции на муниципальном</w:t>
            </w:r>
          </w:p>
          <w:p>
            <w:pPr>
              <w:pStyle w:val="Normal"/>
              <w:autoSpaceDE w:val="false"/>
              <w:rPr>
                <w:rFonts w:ascii="Times New Roman" w:hAnsi="Times New Roman" w:eastAsia="Lucida Sans Unicode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уровне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1"/>
              <w:jc w:val="center"/>
              <w:rPr>
                <w:rFonts w:ascii="Times New Roman" w:hAnsi="Times New Roman" w:eastAsia="Lucida Sans Unicode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2016 год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1"/>
              <w:jc w:val="center"/>
              <w:rPr>
                <w:rFonts w:ascii="Times New Roman" w:hAnsi="Times New Roman" w:eastAsia="Lucida Sans Unicode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Отдел экономики и имущественных отношений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rPr>
                <w:rFonts w:ascii="Times New Roman" w:hAnsi="Times New Roman" w:eastAsia="Lucida Sans Unicode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Количество</w:t>
            </w:r>
          </w:p>
          <w:p>
            <w:pPr>
              <w:pStyle w:val="Normal"/>
              <w:autoSpaceDE w:val="false"/>
              <w:rPr>
                <w:rFonts w:ascii="Times New Roman" w:hAnsi="Times New Roman" w:eastAsia="Lucida Sans Unicode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заключенных</w:t>
            </w:r>
          </w:p>
          <w:p>
            <w:pPr>
              <w:pStyle w:val="Normal"/>
              <w:autoSpaceDE w:val="false"/>
              <w:rPr>
                <w:rFonts w:ascii="Times New Roman" w:hAnsi="Times New Roman" w:eastAsia="Lucida Sans Unicode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и реализующихся</w:t>
            </w:r>
          </w:p>
          <w:p>
            <w:pPr>
              <w:pStyle w:val="Normal"/>
              <w:autoSpaceDE w:val="false"/>
              <w:rPr>
                <w:rFonts w:ascii="Times New Roman" w:hAnsi="Times New Roman" w:eastAsia="Lucida Sans Unicode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соглашений, ед.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1"/>
              <w:rPr>
                <w:rFonts w:ascii="Times New Roman" w:hAnsi="Times New Roman" w:eastAsia="Lucida Sans Unicode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2016г. - 1</w:t>
            </w:r>
          </w:p>
        </w:tc>
      </w:tr>
      <w:tr>
        <w:trPr>
          <w:trHeight w:val="1538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2.9.2.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rPr>
                <w:rFonts w:ascii="Times New Roman" w:hAnsi="Times New Roman" w:eastAsia="Lucida Sans Unicode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Необходимость координации деятельности по вопросам внедрения на муниципальном уровне Стандарта развития конкуренции и исполнения мероприятий «дорожной карты» по содействию развития конкуренции в Нижегородской области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Формирование рабочей группы по содействию развитию конкуренции на территории Шарангского муниципального района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rPr>
                <w:rFonts w:ascii="Times New Roman" w:hAnsi="Times New Roman" w:eastAsia="Lucida Sans Unicode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Внедрение Стандарта</w:t>
            </w:r>
          </w:p>
          <w:p>
            <w:pPr>
              <w:pStyle w:val="Normal"/>
              <w:autoSpaceDE w:val="false"/>
              <w:rPr>
                <w:rFonts w:ascii="Times New Roman" w:hAnsi="Times New Roman" w:eastAsia="Lucida Sans Unicode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развития конкуренции</w:t>
            </w:r>
          </w:p>
          <w:p>
            <w:pPr>
              <w:pStyle w:val="Normal"/>
              <w:autoSpaceDE w:val="false"/>
              <w:rPr>
                <w:rFonts w:ascii="Times New Roman" w:hAnsi="Times New Roman" w:eastAsia="Lucida Sans Unicode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на муниципальном</w:t>
            </w:r>
          </w:p>
          <w:p>
            <w:pPr>
              <w:pStyle w:val="Normal"/>
              <w:autoSpaceDE w:val="false"/>
              <w:rPr>
                <w:rFonts w:ascii="Times New Roman" w:hAnsi="Times New Roman" w:eastAsia="Lucida Sans Unicode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уровне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1"/>
              <w:jc w:val="center"/>
              <w:rPr>
                <w:rFonts w:ascii="Times New Roman" w:hAnsi="Times New Roman" w:eastAsia="Lucida Sans Unicode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2016 год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1"/>
              <w:jc w:val="center"/>
              <w:rPr>
                <w:rFonts w:ascii="Times New Roman" w:hAnsi="Times New Roman" w:eastAsia="Lucida Sans Unicode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Отдел экономики и имущественных отношений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rPr>
                <w:rFonts w:ascii="Times New Roman" w:hAnsi="Times New Roman" w:eastAsia="Lucida Sans Unicode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Разработка ведомственного плана по содействию развитию конкуренции, ед.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1"/>
              <w:rPr>
                <w:rFonts w:ascii="Times New Roman" w:hAnsi="Times New Roman" w:eastAsia="Lucida Sans Unicode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2016 - 1</w:t>
            </w:r>
          </w:p>
        </w:tc>
      </w:tr>
      <w:tr>
        <w:trPr>
          <w:trHeight w:val="174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2.9.3.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Отсутствие единого нормативного акта по внедрению стандарта на муниципальном уровне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1"/>
              <w:rPr>
                <w:rFonts w:ascii="Times New Roman" w:hAnsi="Times New Roman" w:eastAsia="Lucida Sans Unicode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Разработка и реализация ведомственных планов ОМСУ в разрезе ведомств – структурных подразделений администрации района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Внедрение Стандарта развития конкуренции на муниципальном уровне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 год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rPr>
                <w:rFonts w:ascii="Times New Roman" w:hAnsi="Times New Roman" w:eastAsia="Lucida Sans Unicode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Количество заключенных</w:t>
            </w:r>
          </w:p>
          <w:p>
            <w:pPr>
              <w:pStyle w:val="Normal"/>
              <w:autoSpaceDE w:val="false"/>
              <w:rPr>
                <w:rFonts w:ascii="Times New Roman" w:hAnsi="Times New Roman" w:eastAsia="Lucida Sans Unicode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Lucida Sans Unicode" w:ascii="Times New Roman" w:hAnsi="Times New Roman"/>
                <w:kern w:val="2"/>
                <w:sz w:val="24"/>
                <w:szCs w:val="24"/>
                <w:lang w:eastAsia="zh-CN" w:bidi="hi-IN"/>
              </w:rPr>
              <w:t>и реализующих ведомственных планов, ед.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2016г. - 1</w:t>
            </w:r>
          </w:p>
        </w:tc>
      </w:tr>
    </w:tbl>
    <w:p>
      <w:pPr>
        <w:pStyle w:val="Normal"/>
        <w:autoSpaceDE w:val="false"/>
        <w:ind w:left="0" w:right="0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autoSpaceDE w:val="false"/>
        <w:ind w:left="0" w:right="0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Список исполнителей ведомственного плана по содействию развитию конкуренции Шарангского муниципального района Нижегородской области: </w:t>
      </w:r>
    </w:p>
    <w:p>
      <w:pPr>
        <w:pStyle w:val="Normal"/>
        <w:autoSpaceDE w:val="false"/>
        <w:ind w:left="0" w:right="0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Управление финансов – Управление финансов администрации Шарангского муниципального района</w:t>
      </w:r>
    </w:p>
    <w:p>
      <w:pPr>
        <w:pStyle w:val="Normal"/>
        <w:widowControl w:val="false"/>
        <w:numPr>
          <w:ilvl w:val="0"/>
          <w:numId w:val="3"/>
        </w:numPr>
        <w:suppressAutoHyphens w:val="true"/>
        <w:autoSpaceDE w:val="false"/>
        <w:ind w:left="0" w:right="0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Отдел экономики и имущественных отношений администрации Шарангского муниципального района;</w:t>
      </w:r>
    </w:p>
    <w:p>
      <w:pPr>
        <w:pStyle w:val="Normal"/>
        <w:widowControl w:val="false"/>
        <w:numPr>
          <w:ilvl w:val="0"/>
          <w:numId w:val="3"/>
        </w:numPr>
        <w:suppressAutoHyphens w:val="true"/>
        <w:autoSpaceDE w:val="false"/>
        <w:ind w:left="0" w:right="0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Отдел капитального строительства администрации Шарангского муниципального района; </w:t>
      </w:r>
    </w:p>
    <w:p>
      <w:pPr>
        <w:pStyle w:val="Normal"/>
        <w:widowControl w:val="false"/>
        <w:numPr>
          <w:ilvl w:val="0"/>
          <w:numId w:val="3"/>
        </w:numPr>
        <w:suppressAutoHyphens w:val="true"/>
        <w:autoSpaceDE w:val="false"/>
        <w:ind w:left="0" w:right="0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Отдел культуры администрации Шарангского муниципального района;</w:t>
      </w:r>
    </w:p>
    <w:p>
      <w:pPr>
        <w:pStyle w:val="Normal"/>
        <w:widowControl w:val="false"/>
        <w:numPr>
          <w:ilvl w:val="0"/>
          <w:numId w:val="3"/>
        </w:numPr>
        <w:suppressAutoHyphens w:val="true"/>
        <w:autoSpaceDE w:val="false"/>
        <w:ind w:left="0" w:right="0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Отдел образования администрации Шарангского муниципального района;</w:t>
      </w:r>
    </w:p>
    <w:p>
      <w:pPr>
        <w:pStyle w:val="Normal"/>
        <w:widowControl w:val="false"/>
        <w:numPr>
          <w:ilvl w:val="0"/>
          <w:numId w:val="3"/>
        </w:numPr>
        <w:suppressAutoHyphens w:val="true"/>
        <w:autoSpaceDE w:val="false"/>
        <w:ind w:left="0" w:right="0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Организационно – правовой отдел администрации Шарангского муниципального района;</w:t>
      </w:r>
    </w:p>
    <w:p>
      <w:pPr>
        <w:pStyle w:val="Normal"/>
        <w:widowControl w:val="false"/>
        <w:numPr>
          <w:ilvl w:val="0"/>
          <w:numId w:val="3"/>
        </w:numPr>
        <w:suppressAutoHyphens w:val="true"/>
        <w:autoSpaceDE w:val="false"/>
        <w:ind w:left="0" w:right="0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Органы местного самоуправления муниципального района ( по согласованию).</w:t>
      </w:r>
    </w:p>
    <w:p>
      <w:pPr>
        <w:pStyle w:val="Normal"/>
        <w:widowControl w:val="false"/>
        <w:numPr>
          <w:ilvl w:val="0"/>
          <w:numId w:val="3"/>
        </w:numPr>
        <w:suppressAutoHyphens w:val="true"/>
        <w:autoSpaceDE w:val="false"/>
        <w:ind w:left="0" w:right="0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МБУ МФЦ – МБУ «Многофункциональный центр предоставления государственных и муниципальных услуг Шарангского муниципального района».</w:t>
      </w:r>
    </w:p>
    <w:p>
      <w:pPr>
        <w:pStyle w:val="Normal"/>
        <w:shd w:fill="FFFFFF" w:val="clear"/>
        <w:ind w:left="0" w:right="0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 Автономная некоммерческая организация «Шарангский центр поддержки бизнеса»;</w:t>
      </w:r>
    </w:p>
    <w:p>
      <w:pPr>
        <w:pStyle w:val="Normal"/>
        <w:ind w:left="0" w:right="0" w:firstLine="567"/>
        <w:jc w:val="center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Общественная организация « Местная национально –культурная автономия марийцев Шарангского района Нижегородской области»"</w:t>
      </w:r>
    </w:p>
    <w:sectPr>
      <w:headerReference w:type="default" r:id="rId5"/>
      <w:type w:val="nextPage"/>
      <w:pgSz w:orient="landscape" w:w="16838" w:h="11906"/>
      <w:pgMar w:left="480" w:right="548" w:header="1134" w:top="1648" w:footer="0" w:bottom="677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Calibri">
    <w:charset w:val="cc"/>
    <w:family w:val="swiss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23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3">
    <w:lvl w:ilvl="0">
      <w:start w:val="1"/>
      <w:numFmt w:val="bullet"/>
      <w:lvlText w:val=""/>
      <w:lvlJc w:val="left"/>
      <w:pPr>
        <w:ind w:left="1440" w:hanging="360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>
    <w:name w:val="Font Style14"/>
    <w:basedOn w:val="Style12"/>
    <w:qFormat/>
    <w:rPr>
      <w:rFonts w:ascii="Times New Roman" w:hAnsi="Times New Roman" w:cs="Times New Roman"/>
      <w:sz w:val="26"/>
      <w:szCs w:val="26"/>
    </w:rPr>
  </w:style>
  <w:style w:type="character" w:styleId="Style12">
    <w:name w:val="Основной шрифт абзаца"/>
    <w:qFormat/>
    <w:rPr/>
  </w:style>
  <w:style w:type="character" w:styleId="Style13">
    <w:name w:val="Номер страницы"/>
    <w:basedOn w:val="Style12"/>
    <w:rPr/>
  </w:style>
  <w:style w:type="character" w:styleId="Style14">
    <w:name w:val="Выделение жирным"/>
    <w:qFormat/>
    <w:rPr>
      <w:b/>
      <w:bCs/>
    </w:rPr>
  </w:style>
  <w:style w:type="paragraph" w:styleId="Style15" w:customStyle="1">
    <w:name w:val="Заголовок"/>
    <w:basedOn w:val="Normal"/>
    <w:next w:val="Style16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6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rsid w:val="0055234d"/>
    <w:pPr/>
    <w:rPr>
      <w:rFonts w:cs="Mangal"/>
    </w:rPr>
  </w:style>
  <w:style w:type="paragraph" w:styleId="Style18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20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2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3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4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ConsPlusTitle">
    <w:name w:val="ConsPlusTitle"/>
    <w:qFormat/>
    <w:pPr>
      <w:widowControl w:val="false"/>
      <w:autoSpaceDE w:val="false"/>
    </w:pPr>
    <w:rPr>
      <w:rFonts w:ascii="Calibri" w:hAnsi="Calibri" w:eastAsia="Times New Roman" w:cs="Calibri"/>
      <w:b/>
      <w:color w:val="auto"/>
      <w:kern w:val="2"/>
      <w:sz w:val="22"/>
      <w:szCs w:val="20"/>
      <w:lang w:val="ru-RU" w:bidi="ar-SA" w:eastAsia="zh-CN"/>
    </w:rPr>
  </w:style>
  <w:style w:type="paragraph" w:styleId="Style25">
    <w:name w:val="Содержимое таблицы"/>
    <w:basedOn w:val="Normal"/>
    <w:qFormat/>
    <w:pPr>
      <w:widowControl w:val="false"/>
      <w:suppressLineNumbers/>
      <w:suppressAutoHyphens w:val="true"/>
    </w:pPr>
    <w:rPr>
      <w:rFonts w:eastAsia="Lucida Sans Unicode" w:cs="Mangal"/>
      <w:kern w:val="2"/>
      <w:sz w:val="24"/>
      <w:szCs w:val="24"/>
      <w:lang w:eastAsia="zh-CN" w:bidi="hi-IN"/>
    </w:rPr>
  </w:style>
  <w:style w:type="paragraph" w:styleId="21">
    <w:name w:val="Абзац списка2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cs="Calibri"/>
      <w:sz w:val="22"/>
      <w:szCs w:val="22"/>
    </w:rPr>
  </w:style>
  <w:style w:type="paragraph" w:styleId="Style26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numbering" w:styleId="WW8Num19">
    <w:name w:val="WW8Num19"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Application>LibreOffice/6.1.3.2$Windows_X86_64 LibreOffice_project/86daf60bf00efa86ad547e59e09d6bb77c699acb</Application>
  <Pages>24</Pages>
  <Words>3495</Words>
  <Characters>26232</Characters>
  <CharactersWithSpaces>29358</CharactersWithSpaces>
  <Paragraphs>454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2019-02-14T14:14:05Z</cp:lastPrinted>
  <dcterms:modified xsi:type="dcterms:W3CDTF">2019-02-14T14:15:14Z</dcterms:modified>
  <cp:revision>61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