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2.xml" ContentType="application/vnd.openxmlformats-officedocument.wordprocessingml.header+xml"/>
  <Override PartName="/word/media/image1.png" ContentType="image/png"/>
  <Override PartName="/word/theme/theme1.xml" ContentType="application/vnd.openxmlformats-officedocument.theme+xml"/>
  <Override PartName="/word/header1.xml" ContentType="application/vnd.openxmlformats-officedocument.wordprocessingml.head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_rels/document.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kern w:val="2"/>
          <w:sz w:val="32"/>
        </w:rPr>
      </w:pPr>
      <w:r>
        <w:rPr/>
        <w:drawing>
          <wp:inline distT="0" distB="0" distL="0" distR="0">
            <wp:extent cx="631825" cy="607695"/>
            <wp:effectExtent l="0" t="0" r="0" b="0"/>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2"/>
                    <a:srcRect l="-242" t="-252" r="-242" b="-252"/>
                    <a:stretch>
                      <a:fillRect/>
                    </a:stretch>
                  </pic:blipFill>
                  <pic:spPr bwMode="auto">
                    <a:xfrm>
                      <a:off x="0" y="0"/>
                      <a:ext cx="631825" cy="607695"/>
                    </a:xfrm>
                    <a:prstGeom prst="rect">
                      <a:avLst/>
                    </a:prstGeom>
                  </pic:spPr>
                </pic:pic>
              </a:graphicData>
            </a:graphic>
          </wp:inline>
        </w:drawing>
      </w:r>
    </w:p>
    <w:p>
      <w:pPr>
        <w:pStyle w:val="Normal"/>
        <w:spacing w:lineRule="auto" w:line="216" w:before="40" w:after="0"/>
        <w:jc w:val="center"/>
        <w:rPr>
          <w:b/>
          <w:b/>
          <w:color w:val="000000"/>
          <w:kern w:val="2"/>
          <w:sz w:val="32"/>
        </w:rPr>
      </w:pPr>
      <w:r>
        <w:rPr>
          <w:b/>
          <w:color w:val="000000"/>
          <w:kern w:val="2"/>
          <w:sz w:val="32"/>
        </w:rPr>
      </w:r>
    </w:p>
    <w:p>
      <w:pPr>
        <w:pStyle w:val="Normal"/>
        <w:spacing w:lineRule="auto" w:line="216" w:before="40" w:after="0"/>
        <w:jc w:val="center"/>
        <w:rPr>
          <w:b/>
          <w:b/>
          <w:kern w:val="2"/>
          <w:sz w:val="28"/>
          <w:szCs w:val="28"/>
        </w:rPr>
      </w:pPr>
      <w:r>
        <w:rPr>
          <w:b/>
          <w:color w:val="000000"/>
          <w:kern w:val="2"/>
          <w:sz w:val="28"/>
          <w:szCs w:val="28"/>
        </w:rPr>
        <w:t xml:space="preserve">АДМИНИСТРАЦИЯ </w:t>
      </w:r>
    </w:p>
    <w:p>
      <w:pPr>
        <w:pStyle w:val="Normal"/>
        <w:spacing w:lineRule="auto" w:line="216" w:before="40" w:after="0"/>
        <w:jc w:val="center"/>
        <w:rPr>
          <w:b/>
          <w:b/>
          <w:kern w:val="2"/>
          <w:sz w:val="28"/>
          <w:szCs w:val="28"/>
        </w:rPr>
      </w:pPr>
      <w:r>
        <w:rPr>
          <w:b/>
          <w:color w:val="000000"/>
          <w:kern w:val="2"/>
          <w:sz w:val="28"/>
          <w:szCs w:val="28"/>
        </w:rPr>
        <w:t>ШАРАНГСКОГО МУНИЦИПАЛЬНОГО РАЙОНА</w:t>
      </w:r>
    </w:p>
    <w:p>
      <w:pPr>
        <w:pStyle w:val="1"/>
        <w:numPr>
          <w:ilvl w:val="0"/>
          <w:numId w:val="3"/>
        </w:numPr>
        <w:rPr>
          <w:sz w:val="28"/>
          <w:szCs w:val="28"/>
        </w:rPr>
      </w:pPr>
      <w:r>
        <w:rPr>
          <w:color w:val="000000"/>
          <w:sz w:val="28"/>
          <w:szCs w:val="28"/>
        </w:rPr>
        <w:t>НИЖЕГОРОДСКОЙ ОБЛАСТИ</w:t>
      </w:r>
    </w:p>
    <w:p>
      <w:pPr>
        <w:pStyle w:val="1"/>
        <w:numPr>
          <w:ilvl w:val="0"/>
          <w:numId w:val="3"/>
        </w:numPr>
        <w:rPr>
          <w:color w:val="000000"/>
          <w:spacing w:val="60"/>
          <w:sz w:val="28"/>
          <w:szCs w:val="28"/>
        </w:rPr>
      </w:pPr>
      <w:r>
        <w:rPr>
          <w:color w:val="000000"/>
          <w:spacing w:val="60"/>
          <w:sz w:val="28"/>
          <w:szCs w:val="28"/>
        </w:rPr>
      </w:r>
    </w:p>
    <w:p>
      <w:pPr>
        <w:pStyle w:val="1"/>
        <w:numPr>
          <w:ilvl w:val="0"/>
          <w:numId w:val="3"/>
        </w:numPr>
        <w:ind w:left="142" w:hanging="142"/>
        <w:rPr>
          <w:spacing w:val="60"/>
          <w:sz w:val="28"/>
          <w:szCs w:val="28"/>
        </w:rPr>
      </w:pPr>
      <w:r>
        <w:rPr>
          <w:color w:val="000000"/>
          <w:spacing w:val="60"/>
          <w:sz w:val="28"/>
          <w:szCs w:val="28"/>
        </w:rPr>
        <w:t>ПОСТАНОВЛЕНИЕ</w:t>
      </w:r>
    </w:p>
    <w:p>
      <w:pPr>
        <w:pStyle w:val="Normal"/>
        <w:jc w:val="both"/>
        <w:rPr>
          <w:color w:val="000000"/>
          <w:spacing w:val="60"/>
          <w:sz w:val="28"/>
          <w:szCs w:val="28"/>
        </w:rPr>
      </w:pPr>
      <w:r>
        <w:rPr>
          <w:color w:val="000000"/>
          <w:spacing w:val="60"/>
          <w:sz w:val="28"/>
          <w:szCs w:val="28"/>
        </w:rPr>
      </w:r>
    </w:p>
    <w:p>
      <w:pPr>
        <w:pStyle w:val="Normal"/>
        <w:jc w:val="both"/>
        <w:rPr>
          <w:color w:val="000000"/>
          <w:spacing w:val="60"/>
          <w:sz w:val="28"/>
          <w:szCs w:val="28"/>
        </w:rPr>
      </w:pPr>
      <w:r>
        <w:rPr>
          <w:color w:val="000000"/>
          <w:spacing w:val="60"/>
          <w:sz w:val="28"/>
          <w:szCs w:val="28"/>
        </w:rPr>
      </w:r>
    </w:p>
    <w:p>
      <w:pPr>
        <w:pStyle w:val="Normal"/>
        <w:tabs>
          <w:tab w:val="clear" w:pos="709"/>
          <w:tab w:val="left" w:pos="8789" w:leader="none"/>
        </w:tabs>
        <w:rPr>
          <w:color w:val="000000"/>
        </w:rPr>
      </w:pPr>
      <w:r>
        <w:rPr>
          <w:color w:val="000000"/>
          <w:sz w:val="28"/>
          <w:szCs w:val="28"/>
        </w:rPr>
        <w:t>от 27.05.2019</w:t>
        <w:tab/>
      </w:r>
      <w:r>
        <w:rPr>
          <w:color w:val="000000"/>
          <w:sz w:val="28"/>
          <w:szCs w:val="28"/>
          <w:lang w:val="en-US"/>
        </w:rPr>
        <w:t>N</w:t>
      </w:r>
      <w:r>
        <w:rPr>
          <w:color w:val="000000"/>
          <w:sz w:val="28"/>
          <w:szCs w:val="28"/>
        </w:rPr>
        <w:t xml:space="preserve"> 295</w:t>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Normal"/>
        <w:jc w:val="both"/>
        <w:rPr>
          <w:color w:val="000000"/>
          <w:sz w:val="28"/>
          <w:szCs w:val="28"/>
        </w:rPr>
      </w:pPr>
      <w:r>
        <w:rPr>
          <w:color w:val="000000"/>
          <w:sz w:val="28"/>
          <w:szCs w:val="28"/>
        </w:rPr>
      </w:r>
    </w:p>
    <w:p>
      <w:pPr>
        <w:pStyle w:val="Normal"/>
        <w:ind w:left="1134" w:right="1134" w:hanging="0"/>
        <w:jc w:val="center"/>
        <w:rPr>
          <w:b/>
          <w:b/>
          <w:color w:val="000000"/>
          <w:sz w:val="28"/>
          <w:szCs w:val="28"/>
        </w:rPr>
      </w:pPr>
      <w:r>
        <w:rPr>
          <w:rFonts w:cs="Arial"/>
          <w:b/>
          <w:color w:val="000000"/>
          <w:sz w:val="28"/>
          <w:szCs w:val="28"/>
        </w:rPr>
        <w:t>Об утверждении Административного регламента по предоставлению муниципальной услуги «Подготовка и выдача разрешений на ввод объектов в эксплуатацию на территории Шарангского муниципального района Нижегородской области»</w:t>
      </w:r>
    </w:p>
    <w:p>
      <w:pPr>
        <w:pStyle w:val="ConsPlusNormal"/>
        <w:widowControl/>
        <w:ind w:hanging="0"/>
        <w:rPr>
          <w:rFonts w:ascii="Times New Roman" w:hAnsi="Times New Roman" w:cs="Times New Roman"/>
          <w:b/>
          <w:b/>
          <w:color w:val="000000"/>
          <w:sz w:val="28"/>
          <w:szCs w:val="28"/>
        </w:rPr>
      </w:pPr>
      <w:r>
        <w:rPr>
          <w:rFonts w:cs="Times New Roman" w:ascii="Times New Roman" w:hAnsi="Times New Roman"/>
          <w:b/>
          <w:color w:val="000000"/>
          <w:sz w:val="28"/>
          <w:szCs w:val="28"/>
        </w:rPr>
      </w:r>
    </w:p>
    <w:p>
      <w:pPr>
        <w:pStyle w:val="ConsPlusNormal"/>
        <w:widowControl/>
        <w:ind w:hanging="0"/>
        <w:rPr>
          <w:rFonts w:ascii="Times New Roman" w:hAnsi="Times New Roman" w:cs="Times New Roman"/>
          <w:b/>
          <w:b/>
          <w:color w:val="000000"/>
          <w:sz w:val="28"/>
          <w:szCs w:val="28"/>
        </w:rPr>
      </w:pPr>
      <w:r>
        <w:rPr>
          <w:rFonts w:cs="Times New Roman" w:ascii="Times New Roman" w:hAnsi="Times New Roman"/>
          <w:b/>
          <w:color w:val="000000"/>
          <w:sz w:val="28"/>
          <w:szCs w:val="28"/>
        </w:rPr>
      </w:r>
    </w:p>
    <w:p>
      <w:pPr>
        <w:pStyle w:val="ConsPlusNormal"/>
        <w:spacing w:lineRule="auto" w:line="360"/>
        <w:ind w:firstLine="709"/>
        <w:jc w:val="both"/>
        <w:rPr>
          <w:color w:val="000000"/>
        </w:rPr>
      </w:pPr>
      <w:r>
        <w:rPr>
          <w:rFonts w:cs="Times New Roman" w:ascii="Times New Roman" w:hAnsi="Times New Roman"/>
          <w:color w:val="000000"/>
          <w:sz w:val="28"/>
          <w:szCs w:val="28"/>
        </w:rPr>
        <w:t xml:space="preserve">В целях повышения качества исполнения и доступности муниципальных услуг, в соответствии с Федеральным законом Российской Федерации от 27 июля 2010 г. N 210-ФЗ "Об организации предоставления государственных и муниципальных услуг" администрация Шарангского муниципального района </w:t>
      </w:r>
    </w:p>
    <w:p>
      <w:pPr>
        <w:pStyle w:val="ConsPlusNormal"/>
        <w:spacing w:lineRule="auto" w:line="360"/>
        <w:ind w:hanging="0"/>
        <w:jc w:val="both"/>
        <w:rPr>
          <w:rFonts w:ascii="Times New Roman" w:hAnsi="Times New Roman" w:cs="Times New Roman"/>
          <w:b/>
          <w:b/>
          <w:color w:val="000000"/>
          <w:sz w:val="28"/>
          <w:szCs w:val="28"/>
        </w:rPr>
      </w:pPr>
      <w:r>
        <w:rPr>
          <w:rFonts w:cs="Times New Roman" w:ascii="Times New Roman" w:hAnsi="Times New Roman"/>
          <w:b/>
          <w:color w:val="000000"/>
          <w:sz w:val="28"/>
          <w:szCs w:val="28"/>
        </w:rPr>
        <w:t>п о с т а н о в л я е т:</w:t>
      </w:r>
    </w:p>
    <w:p>
      <w:pPr>
        <w:pStyle w:val="ConsPlusNormal"/>
        <w:spacing w:lineRule="auto" w:line="360"/>
        <w:ind w:firstLine="709"/>
        <w:jc w:val="both"/>
        <w:rPr>
          <w:color w:val="000000"/>
        </w:rPr>
      </w:pPr>
      <w:r>
        <w:rPr>
          <w:rFonts w:cs="Times New Roman" w:ascii="Times New Roman" w:hAnsi="Times New Roman"/>
          <w:color w:val="000000"/>
          <w:sz w:val="28"/>
          <w:szCs w:val="28"/>
        </w:rPr>
        <w:t>1. Утвердить прилагаемый административный регламент по предоставлению муниципальной услуги «Подготовка и выдача разрешений на ввод объектов в эксплуатацию на территории Шарангского муниципального района Нижегородской области».</w:t>
      </w:r>
    </w:p>
    <w:p>
      <w:pPr>
        <w:pStyle w:val="ConsPlusNormal"/>
        <w:spacing w:lineRule="auto" w:line="360"/>
        <w:ind w:firstLine="709"/>
        <w:jc w:val="both"/>
        <w:rPr>
          <w:color w:val="000000"/>
        </w:rPr>
      </w:pPr>
      <w:r>
        <w:rPr>
          <w:rFonts w:cs="Times New Roman" w:ascii="Times New Roman" w:hAnsi="Times New Roman"/>
          <w:color w:val="000000"/>
          <w:sz w:val="28"/>
          <w:szCs w:val="28"/>
        </w:rPr>
        <w:t>2. Разместить настоящее постановление на официальном сайте администрации Шарангского муниципального района в сети Интернет.</w:t>
      </w:r>
    </w:p>
    <w:p>
      <w:pPr>
        <w:pStyle w:val="ConsPlusNormal"/>
        <w:spacing w:lineRule="auto" w:line="360"/>
        <w:ind w:firstLine="709"/>
        <w:jc w:val="both"/>
        <w:rPr>
          <w:color w:val="000000"/>
        </w:rPr>
      </w:pPr>
      <w:r>
        <w:rPr>
          <w:rFonts w:cs="Times New Roman" w:ascii="Times New Roman" w:hAnsi="Times New Roman"/>
          <w:color w:val="000000"/>
          <w:sz w:val="28"/>
          <w:szCs w:val="28"/>
        </w:rPr>
        <w:t>3. Признать утратившими силу постановления администрации Шарангского муниципального района:</w:t>
      </w:r>
    </w:p>
    <w:p>
      <w:pPr>
        <w:sectPr>
          <w:headerReference w:type="default" r:id="rId3"/>
          <w:type w:val="nextPage"/>
          <w:pgSz w:w="11906" w:h="16838"/>
          <w:pgMar w:left="1418" w:right="850" w:header="930" w:top="987" w:footer="0" w:bottom="1118" w:gutter="0"/>
          <w:pgNumType w:fmt="decimal"/>
          <w:formProt w:val="false"/>
          <w:textDirection w:val="lrTb"/>
          <w:docGrid w:type="default" w:linePitch="360" w:charSpace="16384"/>
        </w:sectPr>
        <w:pStyle w:val="ConsPlusNormal"/>
        <w:spacing w:lineRule="auto" w:line="360"/>
        <w:ind w:firstLine="709"/>
        <w:jc w:val="both"/>
        <w:rPr>
          <w:color w:val="000000"/>
        </w:rPr>
      </w:pPr>
      <w:r>
        <w:rPr>
          <w:rFonts w:cs="Times New Roman" w:ascii="Times New Roman" w:hAnsi="Times New Roman"/>
          <w:color w:val="000000"/>
          <w:sz w:val="28"/>
          <w:szCs w:val="28"/>
        </w:rPr>
        <w:t xml:space="preserve">- от 07.04.2017г. № 194 Об утверждении Административного регламента по предоставлению муниципальной услуги «Подготовка и выдача разрешений </w:t>
      </w:r>
    </w:p>
    <w:p>
      <w:pPr>
        <w:pStyle w:val="ConsPlusNormal"/>
        <w:spacing w:lineRule="auto" w:line="360"/>
        <w:ind w:firstLine="709"/>
        <w:jc w:val="both"/>
        <w:rPr>
          <w:color w:val="000000"/>
        </w:rPr>
      </w:pPr>
      <w:r>
        <w:rPr>
          <w:rFonts w:cs="Times New Roman" w:ascii="Times New Roman" w:hAnsi="Times New Roman"/>
          <w:color w:val="000000"/>
          <w:sz w:val="28"/>
          <w:szCs w:val="28"/>
        </w:rPr>
        <w:t>на ввод объектов в эксплуатацию на территории Шарангского муниципального района Нижегородской области»;</w:t>
      </w:r>
    </w:p>
    <w:p>
      <w:pPr>
        <w:pStyle w:val="ConsPlusNormal"/>
        <w:spacing w:lineRule="auto" w:line="360"/>
        <w:ind w:firstLine="709"/>
        <w:jc w:val="both"/>
        <w:rPr>
          <w:color w:val="000000"/>
        </w:rPr>
      </w:pPr>
      <w:r>
        <w:rPr>
          <w:rFonts w:cs="Times New Roman" w:ascii="Times New Roman" w:hAnsi="Times New Roman"/>
          <w:color w:val="000000"/>
          <w:sz w:val="28"/>
          <w:szCs w:val="28"/>
        </w:rPr>
        <w:t>- от 21.06.2018 N 302 «О внесении дополнений и изменений в Административный регламент по предоставлению муниципальной услуги «Подготовка и выдача разрешений на ввод объектов в эксплуатацию на территории Шарангского муниципального района Нижегородской области», утвержденный постановлением администрации Шарангского муниципального района от 07.04.2017 № 194».</w:t>
      </w:r>
    </w:p>
    <w:p>
      <w:pPr>
        <w:pStyle w:val="Normal"/>
        <w:widowControl w:val="false"/>
        <w:numPr>
          <w:ilvl w:val="0"/>
          <w:numId w:val="0"/>
        </w:numPr>
        <w:spacing w:lineRule="auto" w:line="360"/>
        <w:ind w:firstLine="709"/>
        <w:jc w:val="both"/>
        <w:outlineLvl w:val="3"/>
        <w:rPr>
          <w:color w:val="000000"/>
          <w:spacing w:val="2"/>
          <w:sz w:val="28"/>
          <w:szCs w:val="28"/>
          <w:highlight w:val="white"/>
        </w:rPr>
      </w:pPr>
      <w:r>
        <w:rPr>
          <w:bCs/>
          <w:color w:val="000000"/>
          <w:spacing w:val="2"/>
          <w:sz w:val="28"/>
          <w:szCs w:val="28"/>
          <w:highlight w:val="white"/>
        </w:rPr>
        <w:t>4. Контроль за исполнением настоящего постановления возложить на заведующего отделом капитального строительства администрации Ермолина А.В.</w:t>
      </w:r>
    </w:p>
    <w:p>
      <w:pPr>
        <w:pStyle w:val="HTMLPreformatted"/>
        <w:shd w:val="clear" w:color="auto" w:fill="FFFFFF"/>
        <w:tabs>
          <w:tab w:val="left" w:pos="916" w:leader="none"/>
          <w:tab w:val="left" w:pos="1134"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HTMLPreformatted"/>
        <w:shd w:val="clear" w:color="auto" w:fill="FFFFFF"/>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HTMLPreformatted"/>
        <w:shd w:val="clear" w:color="auto" w:fill="FFFFFF"/>
        <w:ind w:firstLine="709"/>
        <w:jc w:val="both"/>
        <w:rPr>
          <w:rFonts w:ascii="Times New Roman" w:hAnsi="Times New Roman" w:cs="Times New Roman"/>
          <w:color w:val="000000"/>
          <w:sz w:val="28"/>
          <w:szCs w:val="28"/>
        </w:rPr>
      </w:pPr>
      <w:r>
        <w:rPr>
          <w:rFonts w:cs="Times New Roman" w:ascii="Times New Roman" w:hAnsi="Times New Roman"/>
          <w:color w:val="000000"/>
          <w:sz w:val="28"/>
          <w:szCs w:val="28"/>
        </w:rPr>
      </w:r>
    </w:p>
    <w:p>
      <w:pPr>
        <w:pStyle w:val="Normal"/>
        <w:tabs>
          <w:tab w:val="clear" w:pos="709"/>
          <w:tab w:val="left" w:pos="8220" w:leader="none"/>
        </w:tabs>
        <w:jc w:val="both"/>
        <w:rPr/>
      </w:pPr>
      <w:r>
        <w:rPr>
          <w:color w:val="000000"/>
          <w:sz w:val="28"/>
          <w:szCs w:val="28"/>
        </w:rPr>
        <mc:AlternateContent>
          <mc:Choice Requires="wps">
            <w:drawing>
              <wp:anchor behindDoc="0" distT="0" distB="0" distL="114300" distR="114300" simplePos="0" locked="0" layoutInCell="1" allowOverlap="1" relativeHeight="2">
                <wp:simplePos x="0" y="0"/>
                <wp:positionH relativeFrom="column">
                  <wp:posOffset>107950</wp:posOffset>
                </wp:positionH>
                <wp:positionV relativeFrom="paragraph">
                  <wp:posOffset>8154035</wp:posOffset>
                </wp:positionV>
                <wp:extent cx="2950210" cy="1032510"/>
                <wp:effectExtent l="0" t="0" r="0" b="0"/>
                <wp:wrapNone/>
                <wp:docPr id="2" name="Врезка1"/>
                <a:graphic xmlns:a="http://schemas.openxmlformats.org/drawingml/2006/main">
                  <a:graphicData uri="http://schemas.microsoft.com/office/word/2010/wordprocessingShape">
                    <wps:wsp>
                      <wps:cNvSpPr/>
                      <wps:nvSpPr>
                        <wps:cNvPr id="0" name="Rectangle 1"/>
                        <wps:cNvSpPr/>
                      </wps:nvSpPr>
                      <wps:spPr>
                        <a:xfrm>
                          <a:off x="0" y="0"/>
                          <a:ext cx="2949480" cy="1031760"/>
                        </a:xfrm>
                        <a:prstGeom prst="rect">
                          <a:avLst/>
                        </a:prstGeom>
                        <a:noFill/>
                        <a:ln>
                          <a:noFill/>
                        </a:ln>
                      </wps:spPr>
                      <wps:bodyPr/>
                    </wps:wsp>
                  </a:graphicData>
                </a:graphic>
              </wp:anchor>
            </w:drawing>
          </mc:Choice>
          <mc:Fallback>
            <w:pict>
              <v:rect id="shape_0" ID="Врезка1" stroked="f" style="position:absolute;margin-left:8.5pt;margin-top:642.05pt;width:232.2pt;height:81.2pt">
                <w10:wrap type="none"/>
                <v:fill o:detectmouseclick="t" on="false"/>
                <v:stroke color="#3465a4" joinstyle="round" endcap="flat"/>
              </v:rect>
            </w:pict>
          </mc:Fallback>
        </mc:AlternateContent>
      </w:r>
      <w:r>
        <w:rPr>
          <w:color w:val="000000"/>
          <w:sz w:val="28"/>
          <w:szCs w:val="28"/>
        </w:rPr>
        <w:t>Глава администрации</w:t>
        <w:tab/>
        <w:t>О.Л. Зыков</w:t>
      </w:r>
      <w:r>
        <w:br w:type="page"/>
      </w:r>
    </w:p>
    <w:p>
      <w:pPr>
        <w:pStyle w:val="Normal"/>
        <w:rPr/>
      </w:pPr>
      <w:r>
        <w:rPr/>
      </w:r>
    </w:p>
    <w:p>
      <w:pPr>
        <w:pStyle w:val="ConsPlusNormal"/>
        <w:ind w:left="4535"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Утвержден</w:t>
      </w:r>
    </w:p>
    <w:p>
      <w:pPr>
        <w:pStyle w:val="ConsPlusNormal"/>
        <w:ind w:left="4535"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постановлением администрации</w:t>
      </w:r>
    </w:p>
    <w:p>
      <w:pPr>
        <w:pStyle w:val="ConsPlusNormal"/>
        <w:ind w:left="4535"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Шарангского муниципального района</w:t>
      </w:r>
    </w:p>
    <w:p>
      <w:pPr>
        <w:pStyle w:val="ConsPlusNormal"/>
        <w:ind w:left="4535" w:hanging="0"/>
        <w:jc w:val="center"/>
        <w:rPr>
          <w:rFonts w:ascii="Times New Roman" w:hAnsi="Times New Roman"/>
          <w:color w:val="000000"/>
        </w:rPr>
      </w:pPr>
      <w:r>
        <w:rPr>
          <w:rFonts w:cs="Times New Roman" w:ascii="Times New Roman" w:hAnsi="Times New Roman"/>
          <w:color w:val="000000"/>
          <w:sz w:val="24"/>
          <w:szCs w:val="24"/>
        </w:rPr>
        <w:t>от 27.05.2019 г. № 295</w:t>
      </w:r>
    </w:p>
    <w:p>
      <w:pPr>
        <w:pStyle w:val="ConsPlusNormal"/>
        <w:ind w:firstLine="567"/>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Title"/>
        <w:ind w:firstLine="567"/>
        <w:jc w:val="center"/>
        <w:rPr>
          <w:color w:val="000000"/>
          <w:sz w:val="24"/>
          <w:szCs w:val="24"/>
        </w:rPr>
      </w:pPr>
      <w:r>
        <w:rPr>
          <w:color w:val="000000"/>
          <w:sz w:val="24"/>
          <w:szCs w:val="24"/>
        </w:rPr>
        <w:t>Административный регламент по предоставлению муниципальной услуги</w:t>
      </w:r>
    </w:p>
    <w:p>
      <w:pPr>
        <w:pStyle w:val="ConsPlusTitle"/>
        <w:ind w:firstLine="567"/>
        <w:jc w:val="center"/>
        <w:rPr>
          <w:color w:val="000000"/>
          <w:sz w:val="24"/>
          <w:szCs w:val="24"/>
        </w:rPr>
      </w:pPr>
      <w:r>
        <w:rPr>
          <w:color w:val="000000"/>
          <w:sz w:val="24"/>
          <w:szCs w:val="24"/>
        </w:rPr>
        <w:t>«Подготовка и выдача разрешений на ввод объектов в эксплуатацию на территории Шарангского муниципального района Нижегородской области»</w:t>
      </w:r>
    </w:p>
    <w:p>
      <w:pPr>
        <w:pStyle w:val="ConsPlusNormal"/>
        <w:ind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t>I. ОБЩИЕ ПОЛОЖЕНИЯ</w:t>
      </w:r>
    </w:p>
    <w:p>
      <w:pPr>
        <w:pStyle w:val="ConsPlusNormal"/>
        <w:ind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rPr>
          <w:rFonts w:ascii="Times New Roman" w:hAnsi="Times New Roman" w:cs="Times New Roman"/>
          <w:color w:val="000000"/>
          <w:sz w:val="24"/>
          <w:szCs w:val="24"/>
        </w:rPr>
      </w:pPr>
      <w:r>
        <w:rPr>
          <w:rFonts w:cs="Times New Roman" w:ascii="Times New Roman" w:hAnsi="Times New Roman"/>
          <w:color w:val="000000"/>
          <w:sz w:val="24"/>
          <w:szCs w:val="24"/>
        </w:rPr>
        <w:t>1.1. Предмет регулирования регламента</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Административный регламент по предоставлению муниципальной услуги "Подготовка и выдача разрешений на ввод объектов в эксплуатацию на территории Шарангского муниципального района Нижегородской области" (далее - Регламент) разработан в целях повышения качества исполнения и доступности результатов предоставления муниципальной услуги, создания комфортных условий для участников отношений, возникающих при организации муниципальной услуги, и определяет последовательность действий (административных процедур) при осуществлении полномочий по организации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1.2. Круг заявителей для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За предоставлением муниципальной услуги вправе обратиться физическое или юридическое лицо, осуществившее на принадлежащем ему земельном участке или на земельном участке иного правообладателя (в установленных законодательством случаях) строительство, реконструкцию объектов капитального строительства</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1.3. Требования к порядку информирования о предоставлении муниципальной услуги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1.3.1. Информирование о предоставлении муниципальной услуги осуществляется: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а) Отделом капитального строительства администрации Шарангского муниципального района (далее - ОКС), </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почтовый адрес ОКС: 606840, Нижегородская область, р.п. Шаранга, ул. Свободы, д.2.</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График (режим) работы ОКС: понедельник - пятница - 8.00 - 17.00, перерыв - 12.00 - 13.00,</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суббота - воскресенье - выходные дни.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Номер телефона ОКС: (83155) 2-17-23.</w:t>
      </w:r>
    </w:p>
    <w:p>
      <w:pPr>
        <w:pStyle w:val="Normal"/>
        <w:widowControl w:val="false"/>
        <w:ind w:firstLine="567"/>
        <w:jc w:val="both"/>
        <w:rPr>
          <w:color w:val="000000"/>
        </w:rPr>
      </w:pPr>
      <w:r>
        <w:rPr>
          <w:color w:val="000000"/>
          <w:sz w:val="24"/>
          <w:szCs w:val="24"/>
        </w:rPr>
        <w:t>Официальный адрес электронной почты - official@adm.</w:t>
      </w:r>
      <w:r>
        <w:rPr>
          <w:color w:val="000000"/>
          <w:sz w:val="24"/>
          <w:szCs w:val="24"/>
          <w:lang w:val="en-US"/>
        </w:rPr>
        <w:t>shr</w:t>
      </w:r>
      <w:r>
        <w:rPr>
          <w:color w:val="000000"/>
          <w:sz w:val="24"/>
          <w:szCs w:val="24"/>
        </w:rPr>
        <w:t>.nnov.ru.</w:t>
      </w:r>
    </w:p>
    <w:p>
      <w:pPr>
        <w:pStyle w:val="Normal"/>
        <w:widowControl w:val="false"/>
        <w:ind w:firstLine="567"/>
        <w:jc w:val="both"/>
        <w:rPr>
          <w:color w:val="000000"/>
          <w:sz w:val="24"/>
          <w:szCs w:val="24"/>
        </w:rPr>
      </w:pPr>
      <w:r>
        <w:rPr>
          <w:color w:val="000000"/>
          <w:sz w:val="24"/>
          <w:szCs w:val="24"/>
        </w:rPr>
        <w:t xml:space="preserve">Официальный сайт - http://www.sharanga.nnov.ru. </w:t>
      </w:r>
    </w:p>
    <w:p>
      <w:pPr>
        <w:pStyle w:val="Normal"/>
        <w:widowControl w:val="false"/>
        <w:ind w:firstLine="567"/>
        <w:jc w:val="both"/>
        <w:rPr>
          <w:color w:val="000000"/>
        </w:rPr>
      </w:pPr>
      <w:r>
        <w:rPr>
          <w:color w:val="000000"/>
          <w:sz w:val="24"/>
          <w:szCs w:val="24"/>
        </w:rPr>
        <w:t>б)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Нижегородской области" (далее также - МБУ "МФЦ", МФЦ)</w:t>
      </w:r>
    </w:p>
    <w:p>
      <w:pPr>
        <w:pStyle w:val="Normal"/>
        <w:widowControl w:val="false"/>
        <w:ind w:firstLine="567"/>
        <w:jc w:val="both"/>
        <w:rPr>
          <w:color w:val="000000"/>
          <w:sz w:val="24"/>
          <w:szCs w:val="24"/>
        </w:rPr>
      </w:pPr>
      <w:r>
        <w:rPr>
          <w:color w:val="000000"/>
          <w:sz w:val="24"/>
          <w:szCs w:val="24"/>
        </w:rPr>
        <w:t>почтовый адрес МБУ «МФЦ» - 606840, Нижегородская область, р.п. Шаранга, ул. Ленина, д. 19.</w:t>
      </w:r>
    </w:p>
    <w:p>
      <w:pPr>
        <w:pStyle w:val="Normal"/>
        <w:widowControl w:val="false"/>
        <w:ind w:firstLine="567"/>
        <w:jc w:val="both"/>
        <w:rPr>
          <w:color w:val="000000"/>
          <w:sz w:val="24"/>
          <w:szCs w:val="24"/>
        </w:rPr>
      </w:pPr>
      <w:r>
        <w:rPr>
          <w:color w:val="000000"/>
          <w:sz w:val="24"/>
          <w:szCs w:val="24"/>
        </w:rPr>
        <w:t>График работы:</w:t>
      </w:r>
    </w:p>
    <w:p>
      <w:pPr>
        <w:pStyle w:val="Normal"/>
        <w:ind w:firstLine="567"/>
        <w:jc w:val="both"/>
        <w:rPr>
          <w:color w:val="000000"/>
          <w:sz w:val="24"/>
          <w:szCs w:val="24"/>
        </w:rPr>
      </w:pPr>
      <w:r>
        <w:rPr>
          <w:color w:val="000000"/>
          <w:sz w:val="24"/>
          <w:szCs w:val="24"/>
        </w:rPr>
        <w:t>Вторник, среда с 8-00 до 18-00</w:t>
      </w:r>
    </w:p>
    <w:p>
      <w:pPr>
        <w:pStyle w:val="Normal"/>
        <w:ind w:firstLine="567"/>
        <w:jc w:val="both"/>
        <w:rPr>
          <w:color w:val="000000"/>
          <w:sz w:val="24"/>
          <w:szCs w:val="24"/>
        </w:rPr>
      </w:pPr>
      <w:r>
        <w:rPr>
          <w:color w:val="000000"/>
          <w:sz w:val="24"/>
          <w:szCs w:val="24"/>
        </w:rPr>
        <w:t>Четверг, пятница с 8-00 до 17-00</w:t>
      </w:r>
    </w:p>
    <w:p>
      <w:pPr>
        <w:pStyle w:val="Normal"/>
        <w:tabs>
          <w:tab w:val="clear" w:pos="709"/>
          <w:tab w:val="left" w:pos="2880" w:leader="none"/>
        </w:tabs>
        <w:ind w:firstLine="567"/>
        <w:jc w:val="both"/>
        <w:rPr>
          <w:color w:val="000000"/>
          <w:sz w:val="24"/>
          <w:szCs w:val="24"/>
        </w:rPr>
      </w:pPr>
      <w:r>
        <w:rPr>
          <w:color w:val="000000"/>
          <w:sz w:val="24"/>
          <w:szCs w:val="24"/>
        </w:rPr>
        <w:t xml:space="preserve">Суббота с 8-00 до 13-00 </w:t>
      </w:r>
    </w:p>
    <w:p>
      <w:pPr>
        <w:pStyle w:val="Normal"/>
        <w:tabs>
          <w:tab w:val="clear" w:pos="709"/>
          <w:tab w:val="left" w:pos="2880" w:leader="none"/>
        </w:tabs>
        <w:ind w:firstLine="567"/>
        <w:jc w:val="both"/>
        <w:rPr>
          <w:color w:val="000000"/>
          <w:sz w:val="24"/>
          <w:szCs w:val="24"/>
        </w:rPr>
      </w:pPr>
      <w:r>
        <w:rPr>
          <w:color w:val="000000"/>
          <w:sz w:val="24"/>
          <w:szCs w:val="24"/>
        </w:rPr>
        <w:t>Понедельник, воскресенье – выходные дни</w:t>
      </w:r>
    </w:p>
    <w:p>
      <w:pPr>
        <w:pStyle w:val="Normal"/>
        <w:tabs>
          <w:tab w:val="clear" w:pos="709"/>
          <w:tab w:val="left" w:pos="2880" w:leader="none"/>
        </w:tabs>
        <w:ind w:firstLine="567"/>
        <w:jc w:val="both"/>
        <w:rPr>
          <w:color w:val="000000"/>
          <w:sz w:val="24"/>
          <w:szCs w:val="24"/>
        </w:rPr>
      </w:pPr>
      <w:r>
        <w:rPr>
          <w:color w:val="000000"/>
          <w:sz w:val="24"/>
          <w:szCs w:val="24"/>
        </w:rPr>
        <w:t>обеденный перерыв с 12-00 до 12-45</w:t>
      </w:r>
    </w:p>
    <w:p>
      <w:pPr>
        <w:pStyle w:val="Normal"/>
        <w:ind w:firstLine="567"/>
        <w:jc w:val="both"/>
        <w:rPr>
          <w:color w:val="000000"/>
          <w:sz w:val="24"/>
          <w:szCs w:val="24"/>
        </w:rPr>
      </w:pPr>
      <w:r>
        <w:rPr>
          <w:color w:val="000000"/>
          <w:sz w:val="24"/>
          <w:szCs w:val="24"/>
        </w:rPr>
        <w:t xml:space="preserve">Телефон линии, предназначенной для информирования заявителей о порядке предоставления государственных и муниципальных услуг: </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8(83155)2-20-46</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1.3.2. Информирование о предоставлении муниципальной услуги осуществляется: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 устной форме в ОКС, МФЦ;</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письменно при поступлении обращения в адрес администрации Шарангского муниципального района, МФЦ либо через интернет-сайт администрации Шарангского муниципального района, МФЦ, по электронной почте;</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 использованием средств телефонной связи;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 посредством размещения в информационно-телекоммуникационных сетях общего пользования (в том числе в сети Интернет), публикаций в средствах массовой информации.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1.3.3. Основными требованиями к информированию заявителей являются: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достоверность и полнота предоставляемой информации;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четкость изложения информации;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удобство и доступность получения информации;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оперативность предоставления информации.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1.3.4. Индивидуальное устное информирование по процедуре оказания муниципальной услуги осуществляется при обращении заинтересованных лиц лично или по телефону. При устном информировании специалист должен принять все необходимые меры для предоставления полного ответа на поставленные вопросы.</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 ответах на телефонные звонки и устные обращения специалисты в вежливой (корректной) форме информируют обратившихся по интересующим их вопросам. Ответ на телефонный звонок должен начинаться с информации о наименовании органа, в который позвонил гражданин, фамилии, имени, отчества и должности специалиста, принявшего телефонный звонок.</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Время получения ответа при индивидуальном устном информировании не должно превышать 15 минут.</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Индивидуальное письменное информирование по процедуре оказания муниципальной услуги осуществляется при обращении заинтересованных лиц путем почтовых отправлений либо по электронным каналам связи. Ответ направляется в письменном виде, электронной почтой либо через интернет-сайт в зависимости от способа обращения заинтересованного лица или способа доставки ответа, указанного в письменном обращении заинтересованного лица, с указанием должности лица, подписавшего ответ, а также фамилии и номера телефона непосредственного исполнителя.</w:t>
      </w:r>
    </w:p>
    <w:p>
      <w:pPr>
        <w:pStyle w:val="Normal"/>
        <w:widowControl w:val="false"/>
        <w:ind w:firstLine="567"/>
        <w:jc w:val="both"/>
        <w:rPr>
          <w:color w:val="000000"/>
        </w:rPr>
      </w:pPr>
      <w:r>
        <w:rPr>
          <w:color w:val="000000"/>
          <w:sz w:val="24"/>
          <w:szCs w:val="24"/>
        </w:rPr>
        <w:t>1.4. На официальном сайте администрации Шарангского муницпального района в сети Интернет размещается следующая информация о предоставлении муниципальной услуги:</w:t>
      </w:r>
    </w:p>
    <w:p>
      <w:pPr>
        <w:pStyle w:val="Normal"/>
        <w:widowControl w:val="false"/>
        <w:ind w:firstLine="567"/>
        <w:jc w:val="both"/>
        <w:rPr>
          <w:color w:val="000000"/>
          <w:sz w:val="24"/>
          <w:szCs w:val="24"/>
        </w:rPr>
      </w:pPr>
      <w:r>
        <w:rPr>
          <w:color w:val="000000"/>
          <w:sz w:val="24"/>
          <w:szCs w:val="24"/>
        </w:rPr>
        <w:t>- наименование и почтовый адрес администрации;</w:t>
      </w:r>
    </w:p>
    <w:p>
      <w:pPr>
        <w:pStyle w:val="Normal"/>
        <w:widowControl w:val="false"/>
        <w:ind w:firstLine="567"/>
        <w:jc w:val="both"/>
        <w:rPr>
          <w:color w:val="000000"/>
        </w:rPr>
      </w:pPr>
      <w:r>
        <w:rPr>
          <w:color w:val="000000"/>
          <w:sz w:val="24"/>
          <w:szCs w:val="24"/>
        </w:rPr>
        <w:t>- справочный номер телефона специалиста, ответственного за предоставление муниципальной услуги;</w:t>
      </w:r>
    </w:p>
    <w:p>
      <w:pPr>
        <w:pStyle w:val="Normal"/>
        <w:widowControl w:val="false"/>
        <w:ind w:firstLine="567"/>
        <w:jc w:val="both"/>
        <w:rPr>
          <w:color w:val="000000"/>
        </w:rPr>
      </w:pPr>
      <w:r>
        <w:rPr>
          <w:color w:val="000000"/>
          <w:sz w:val="24"/>
          <w:szCs w:val="24"/>
        </w:rPr>
        <w:t>- график работы специалиста, ответственного за предоставление муниципальной услуги;</w:t>
      </w:r>
    </w:p>
    <w:p>
      <w:pPr>
        <w:pStyle w:val="Normal"/>
        <w:widowControl w:val="false"/>
        <w:ind w:firstLine="567"/>
        <w:jc w:val="both"/>
        <w:rPr>
          <w:color w:val="000000"/>
          <w:sz w:val="24"/>
          <w:szCs w:val="24"/>
        </w:rPr>
      </w:pPr>
      <w:r>
        <w:rPr>
          <w:color w:val="000000"/>
          <w:sz w:val="24"/>
          <w:szCs w:val="24"/>
        </w:rPr>
        <w:t>- перечень документов, необходимых для получения муниципальной услуги;</w:t>
      </w:r>
    </w:p>
    <w:p>
      <w:pPr>
        <w:pStyle w:val="Normal"/>
        <w:widowControl w:val="false"/>
        <w:ind w:firstLine="567"/>
        <w:jc w:val="both"/>
        <w:rPr>
          <w:color w:val="000000"/>
          <w:sz w:val="24"/>
          <w:szCs w:val="24"/>
        </w:rPr>
      </w:pPr>
      <w:r>
        <w:rPr>
          <w:color w:val="000000"/>
          <w:sz w:val="24"/>
          <w:szCs w:val="24"/>
        </w:rPr>
        <w:t>- выдержки из законодательных и иных нормативных правовых актов, содержащих нормы, регулирующие деятельность по предоставлению муниципальной услуги;</w:t>
      </w:r>
    </w:p>
    <w:p>
      <w:pPr>
        <w:pStyle w:val="Normal"/>
        <w:widowControl w:val="false"/>
        <w:ind w:firstLine="567"/>
        <w:jc w:val="both"/>
        <w:rPr>
          <w:color w:val="000000"/>
        </w:rPr>
      </w:pPr>
      <w:r>
        <w:rPr>
          <w:color w:val="000000"/>
          <w:sz w:val="24"/>
          <w:szCs w:val="24"/>
        </w:rPr>
        <w:t>- текст настоящего регламента с приложениями;</w:t>
      </w:r>
    </w:p>
    <w:p>
      <w:pPr>
        <w:pStyle w:val="Normal"/>
        <w:widowControl w:val="false"/>
        <w:ind w:firstLine="567"/>
        <w:jc w:val="both"/>
        <w:rPr>
          <w:color w:val="000000"/>
          <w:sz w:val="24"/>
          <w:szCs w:val="24"/>
        </w:rPr>
      </w:pPr>
      <w:r>
        <w:rPr>
          <w:color w:val="000000"/>
          <w:sz w:val="24"/>
          <w:szCs w:val="24"/>
        </w:rPr>
        <w:t>- краткое описание порядка предоставления муниципальной услуги;</w:t>
      </w:r>
    </w:p>
    <w:p>
      <w:pPr>
        <w:pStyle w:val="Normal"/>
        <w:widowControl w:val="false"/>
        <w:ind w:firstLine="567"/>
        <w:jc w:val="both"/>
        <w:rPr>
          <w:color w:val="000000"/>
          <w:sz w:val="24"/>
          <w:szCs w:val="24"/>
        </w:rPr>
      </w:pPr>
      <w:r>
        <w:rPr>
          <w:color w:val="000000"/>
          <w:sz w:val="24"/>
          <w:szCs w:val="24"/>
        </w:rPr>
        <w:t>- образцы оформления документов, необходимых для получения муниципальной услуги, и требования к ним.</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II. СТАНДАРТ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2.1. Наименование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"Подготовка и выдача разрешений на ввод объектов в эксплуатацию на территории Шарангского муниципального района Нижегородской области".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2.2. Наименование органа, предоставляющего муниципальную услугу</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 xml:space="preserve">2.2.1. Муниципальная услуга оказывается администрацией Шарангского муниципального района. </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Непосредственным исполнителем муниципальной услуги является отдел капитального строительства администрации Шарангского муниципального района.</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2.2.2. При предоставлении муниципальной услуги ОКС осуществляет взаимодействие с:</w:t>
      </w:r>
    </w:p>
    <w:p>
      <w:pPr>
        <w:pStyle w:val="ConsPlusNormal"/>
        <w:numPr>
          <w:ilvl w:val="0"/>
          <w:numId w:val="4"/>
        </w:numPr>
        <w:ind w:left="0" w:firstLine="567"/>
        <w:jc w:val="both"/>
        <w:rPr>
          <w:rFonts w:ascii="Times New Roman" w:hAnsi="Times New Roman"/>
          <w:color w:val="000000"/>
        </w:rPr>
      </w:pPr>
      <w:r>
        <w:rPr>
          <w:rFonts w:eastAsia="Calibri" w:cs="Times New Roman" w:ascii="Times New Roman" w:hAnsi="Times New Roman"/>
          <w:color w:val="000000"/>
          <w:sz w:val="24"/>
          <w:szCs w:val="24"/>
          <w:lang w:eastAsia="en-US"/>
        </w:rPr>
        <w:t>Управлением Федеральной службы государственной регистрации, кадастра и картографии по Нижегородской области;</w:t>
      </w:r>
    </w:p>
    <w:p>
      <w:pPr>
        <w:pStyle w:val="ListParagraph"/>
        <w:numPr>
          <w:ilvl w:val="0"/>
          <w:numId w:val="4"/>
        </w:numPr>
        <w:spacing w:lineRule="auto" w:line="240" w:before="0" w:after="0"/>
        <w:ind w:left="0" w:firstLine="567"/>
        <w:contextualSpacing/>
        <w:jc w:val="both"/>
        <w:rPr>
          <w:rFonts w:ascii="Times New Roman" w:hAnsi="Times New Roman"/>
          <w:color w:val="000000"/>
          <w:sz w:val="24"/>
          <w:szCs w:val="24"/>
        </w:rPr>
      </w:pPr>
      <w:r>
        <w:rPr>
          <w:rFonts w:ascii="Times New Roman" w:hAnsi="Times New Roman"/>
          <w:color w:val="000000"/>
          <w:sz w:val="24"/>
          <w:szCs w:val="24"/>
        </w:rPr>
        <w:t>органами (организациями) технического учета и технической инвентаризации;</w:t>
      </w:r>
    </w:p>
    <w:p>
      <w:pPr>
        <w:pStyle w:val="ListParagraph"/>
        <w:numPr>
          <w:ilvl w:val="0"/>
          <w:numId w:val="4"/>
        </w:numPr>
        <w:spacing w:lineRule="auto" w:line="240" w:before="0" w:after="0"/>
        <w:ind w:left="0" w:firstLine="567"/>
        <w:contextualSpacing/>
        <w:jc w:val="both"/>
        <w:rPr>
          <w:rFonts w:ascii="Times New Roman" w:hAnsi="Times New Roman"/>
          <w:color w:val="000000"/>
          <w:sz w:val="24"/>
          <w:szCs w:val="24"/>
        </w:rPr>
      </w:pPr>
      <w:r>
        <w:rPr>
          <w:rFonts w:ascii="Times New Roman" w:hAnsi="Times New Roman"/>
          <w:color w:val="000000"/>
          <w:sz w:val="24"/>
          <w:szCs w:val="24"/>
        </w:rPr>
        <w:t>структурными подразделениями администрации Шарангского муниципального района;</w:t>
      </w:r>
    </w:p>
    <w:p>
      <w:pPr>
        <w:pStyle w:val="ListParagraph"/>
        <w:numPr>
          <w:ilvl w:val="0"/>
          <w:numId w:val="4"/>
        </w:numPr>
        <w:spacing w:lineRule="auto" w:line="240" w:before="0" w:after="0"/>
        <w:ind w:left="0" w:firstLine="567"/>
        <w:contextualSpacing/>
        <w:jc w:val="both"/>
        <w:rPr>
          <w:rFonts w:ascii="Times New Roman" w:hAnsi="Times New Roman"/>
          <w:color w:val="000000"/>
          <w:sz w:val="24"/>
          <w:szCs w:val="24"/>
        </w:rPr>
      </w:pPr>
      <w:r>
        <w:rPr>
          <w:rFonts w:ascii="Times New Roman" w:hAnsi="Times New Roman"/>
          <w:color w:val="000000"/>
          <w:sz w:val="24"/>
          <w:szCs w:val="24"/>
        </w:rPr>
        <w:t>организациями, имеющими право на выполнение проектных, геодезических работ, проведение строительного надзора;</w:t>
      </w:r>
    </w:p>
    <w:p>
      <w:pPr>
        <w:pStyle w:val="ListParagraph"/>
        <w:numPr>
          <w:ilvl w:val="0"/>
          <w:numId w:val="4"/>
        </w:numPr>
        <w:spacing w:lineRule="auto" w:line="240" w:before="0" w:after="0"/>
        <w:ind w:left="0" w:firstLine="567"/>
        <w:contextualSpacing/>
        <w:jc w:val="both"/>
        <w:rPr>
          <w:rFonts w:ascii="Times New Roman" w:hAnsi="Times New Roman"/>
          <w:color w:val="000000"/>
          <w:sz w:val="24"/>
          <w:szCs w:val="24"/>
        </w:rPr>
      </w:pPr>
      <w:r>
        <w:rPr>
          <w:rFonts w:ascii="Times New Roman" w:hAnsi="Times New Roman"/>
          <w:color w:val="000000"/>
          <w:sz w:val="24"/>
          <w:szCs w:val="24"/>
        </w:rPr>
        <w:t>иными органами и организациями, имеющими сведения, необходимые для оказания муниципальной услуги.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2.2.3.</w:t>
        <w:tab/>
        <w:t>Органы, участвующие в предоставлении муниципальной услуги,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и организации, за исключением получения услуг, включенных в перечень услуг, которые являются необходимыми и обязательными для предоставления государственных услуг, утвержденный Правительством Российской Федерации;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2.3. Результат предоставления муниципальной услуги.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2.3.1. Результатом предоставления муниципальной услуги является выдача:</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 xml:space="preserve">- </w:t>
      </w:r>
      <w:r>
        <w:rPr>
          <w:rFonts w:eastAsia="Calibri" w:cs="Times New Roman" w:ascii="Times New Roman" w:hAnsi="Times New Roman"/>
          <w:color w:val="000000"/>
          <w:sz w:val="24"/>
          <w:szCs w:val="24"/>
          <w:lang w:eastAsia="en-US"/>
        </w:rPr>
        <w:t>разрешения на ввод объекта в эксплуатацию;</w:t>
      </w:r>
    </w:p>
    <w:p>
      <w:pPr>
        <w:pStyle w:val="Normal"/>
        <w:ind w:firstLine="567"/>
        <w:jc w:val="both"/>
        <w:rPr>
          <w:rFonts w:eastAsia="Calibri"/>
          <w:color w:val="000000"/>
          <w:sz w:val="24"/>
          <w:szCs w:val="24"/>
          <w:lang w:eastAsia="en-US"/>
        </w:rPr>
      </w:pPr>
      <w:r>
        <w:rPr>
          <w:rFonts w:eastAsia="Calibri"/>
          <w:color w:val="000000"/>
          <w:sz w:val="24"/>
          <w:szCs w:val="24"/>
          <w:lang w:eastAsia="en-US"/>
        </w:rPr>
        <w:t>- отказ в выдаче разрешения на ввод объекта в эксплуатацию.</w:t>
      </w:r>
    </w:p>
    <w:p>
      <w:pPr>
        <w:pStyle w:val="Normal"/>
        <w:ind w:firstLine="567"/>
        <w:jc w:val="both"/>
        <w:rPr>
          <w:color w:val="000000"/>
        </w:rPr>
      </w:pPr>
      <w:r>
        <w:rPr>
          <w:color w:val="000000"/>
          <w:sz w:val="24"/>
          <w:szCs w:val="24"/>
        </w:rPr>
        <w:t>2.3.2. В случае строительства или реконструкции объекта индивидуального жилищного строительства или садового дома результатом предоставления муниципальной услуги является выдача:</w:t>
      </w:r>
    </w:p>
    <w:p>
      <w:pPr>
        <w:pStyle w:val="Normal"/>
        <w:ind w:firstLine="567"/>
        <w:jc w:val="both"/>
        <w:rPr>
          <w:color w:val="000000"/>
        </w:rPr>
      </w:pPr>
      <w:r>
        <w:rPr>
          <w:rFonts w:eastAsia="Calibri"/>
          <w:color w:val="000000"/>
          <w:sz w:val="24"/>
          <w:szCs w:val="24"/>
          <w:lang w:eastAsia="en-US"/>
        </w:rPr>
        <w:t>-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2.4. Срок предоставления муниципальной услуги.</w:t>
      </w:r>
    </w:p>
    <w:p>
      <w:pPr>
        <w:pStyle w:val="ConsPlusNormal"/>
        <w:numPr>
          <w:ilvl w:val="0"/>
          <w:numId w:val="0"/>
        </w:numPr>
        <w:ind w:firstLine="567"/>
        <w:jc w:val="both"/>
        <w:outlineLvl w:val="0"/>
        <w:rPr>
          <w:rFonts w:ascii="Times New Roman" w:hAnsi="Times New Roman"/>
          <w:color w:val="000000"/>
        </w:rPr>
      </w:pPr>
      <w:r>
        <w:rPr>
          <w:rFonts w:cs="Times New Roman" w:ascii="Times New Roman" w:hAnsi="Times New Roman"/>
          <w:color w:val="000000"/>
          <w:sz w:val="24"/>
          <w:szCs w:val="24"/>
        </w:rPr>
        <w:t xml:space="preserve"> </w:t>
      </w:r>
      <w:r>
        <w:rPr>
          <w:rFonts w:eastAsia="Calibri" w:cs="Times New Roman" w:ascii="Times New Roman" w:hAnsi="Times New Roman"/>
          <w:color w:val="000000"/>
          <w:sz w:val="24"/>
          <w:szCs w:val="24"/>
          <w:lang w:eastAsia="en-US"/>
        </w:rPr>
        <w:t>Срок предоставления муниципальной услуги составляет 7 рабочих дней и исчисляется со дня регистрации заявления о предоставлении услуги.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2.5. Перечень нормативных правовых актов, регулирующих отношения, возникающие в связи с предоставлением муниципальных услуги</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2.5.1. Предоставление муниципальной услуги осуществляется в соответствии с:</w:t>
      </w:r>
    </w:p>
    <w:p>
      <w:pPr>
        <w:pStyle w:val="ConsPlusNormal"/>
        <w:numPr>
          <w:ilvl w:val="0"/>
          <w:numId w:val="5"/>
        </w:numPr>
        <w:ind w:left="0" w:firstLine="567"/>
        <w:jc w:val="both"/>
        <w:rPr>
          <w:rFonts w:ascii="Times New Roman" w:hAnsi="Times New Roman"/>
          <w:color w:val="000000"/>
        </w:rPr>
      </w:pPr>
      <w:r>
        <w:rPr>
          <w:rFonts w:cs="Times New Roman" w:ascii="Times New Roman" w:hAnsi="Times New Roman"/>
          <w:color w:val="000000"/>
          <w:sz w:val="24"/>
          <w:szCs w:val="24"/>
        </w:rPr>
        <w:t>Градостроительным кодексом Российской Федерации (далее-Градостроительный кодекс);</w:t>
      </w:r>
    </w:p>
    <w:p>
      <w:pPr>
        <w:pStyle w:val="ConsPlusNormal"/>
        <w:numPr>
          <w:ilvl w:val="0"/>
          <w:numId w:val="5"/>
        </w:numPr>
        <w:ind w:lef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Федеральным законом от 02.05.2006 № 59-ФЗ «О порядке рассмотрения обращений граждан Российской Федерации»;</w:t>
      </w:r>
    </w:p>
    <w:p>
      <w:pPr>
        <w:pStyle w:val="ConsPlusNormal"/>
        <w:numPr>
          <w:ilvl w:val="0"/>
          <w:numId w:val="5"/>
        </w:numPr>
        <w:ind w:left="0" w:firstLine="567"/>
        <w:jc w:val="both"/>
        <w:rPr>
          <w:rFonts w:ascii="Times New Roman" w:hAnsi="Times New Roman"/>
          <w:color w:val="000000"/>
        </w:rPr>
      </w:pPr>
      <w:r>
        <w:rPr>
          <w:rFonts w:cs="Times New Roman" w:ascii="Times New Roman" w:hAnsi="Times New Roman"/>
          <w:color w:val="000000"/>
          <w:sz w:val="24"/>
          <w:szCs w:val="24"/>
        </w:rPr>
        <w:t>Федеральным законом от 27.07.2010 № 210-ФЗ «Об организации предоставления государственных и муниципальных услуг»</w:t>
      </w:r>
      <w:r>
        <w:rPr>
          <w:rFonts w:eastAsia="Calibri" w:cs="Times New Roman" w:ascii="Times New Roman" w:hAnsi="Times New Roman"/>
          <w:color w:val="000000"/>
          <w:sz w:val="24"/>
          <w:szCs w:val="24"/>
          <w:lang w:eastAsia="en-US"/>
        </w:rPr>
        <w:t>;</w:t>
      </w:r>
    </w:p>
    <w:p>
      <w:pPr>
        <w:pStyle w:val="ConsPlusNormal"/>
        <w:numPr>
          <w:ilvl w:val="0"/>
          <w:numId w:val="5"/>
        </w:numPr>
        <w:ind w:left="0"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Приказом Министерства строительства и жилищно-коммунального хозяйства Российской Федерации от 19.02.2015г. № 117/ПР;</w:t>
      </w:r>
    </w:p>
    <w:p>
      <w:pPr>
        <w:pStyle w:val="ConsPlusNormal"/>
        <w:numPr>
          <w:ilvl w:val="0"/>
          <w:numId w:val="5"/>
        </w:numPr>
        <w:ind w:left="0" w:firstLine="567"/>
        <w:jc w:val="both"/>
        <w:rPr>
          <w:rFonts w:ascii="Times New Roman" w:hAnsi="Times New Roman"/>
          <w:color w:val="000000"/>
        </w:rPr>
      </w:pPr>
      <w:r>
        <w:rPr>
          <w:rFonts w:cs="Times New Roman" w:ascii="Times New Roman" w:hAnsi="Times New Roman"/>
          <w:color w:val="000000"/>
          <w:sz w:val="24"/>
          <w:szCs w:val="24"/>
        </w:rPr>
        <w:t>Приказом Минстроя России от 19 сентября 2018 г.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w:t>
      </w:r>
    </w:p>
    <w:p>
      <w:pPr>
        <w:pStyle w:val="ConsPlusNormal"/>
        <w:numPr>
          <w:ilvl w:val="0"/>
          <w:numId w:val="5"/>
        </w:numPr>
        <w:ind w:left="0" w:firstLine="567"/>
        <w:jc w:val="both"/>
        <w:rPr>
          <w:rFonts w:ascii="Times New Roman" w:hAnsi="Times New Roman"/>
          <w:color w:val="000000"/>
        </w:rPr>
      </w:pPr>
      <w:r>
        <w:rPr>
          <w:rFonts w:cs="Times New Roman" w:ascii="Times New Roman" w:hAnsi="Times New Roman"/>
          <w:color w:val="000000"/>
          <w:sz w:val="24"/>
          <w:szCs w:val="24"/>
        </w:rPr>
        <w:t>иными нормативными правовыми актами.</w:t>
      </w:r>
    </w:p>
    <w:p>
      <w:pPr>
        <w:pStyle w:val="Normal"/>
        <w:ind w:firstLine="567"/>
        <w:jc w:val="both"/>
        <w:rPr>
          <w:color w:val="000000"/>
        </w:rPr>
      </w:pPr>
      <w:r>
        <w:rPr>
          <w:color w:val="000000"/>
          <w:sz w:val="24"/>
          <w:szCs w:val="24"/>
        </w:rPr>
        <w:t>2.5.2. Полный перечень нормативных правовых актов, регулирующих предоставление муниципальной услуги с указанием их реквизитов и источников официального опубликования размещается на официальном сайте администрации Шарангского муниципального района в сети "Интернет", в федеральном реестре и на Едином портале государственных и муниципальных услуг.</w:t>
      </w:r>
    </w:p>
    <w:p>
      <w:pPr>
        <w:pStyle w:val="ConsPlusNormal"/>
        <w:ind w:firstLine="567"/>
        <w:jc w:val="both"/>
        <w:rPr>
          <w:rFonts w:ascii="Times New Roman" w:hAnsi="Times New Roman" w:cs="Times New Roman"/>
          <w:color w:val="000000"/>
          <w:sz w:val="24"/>
          <w:szCs w:val="24"/>
        </w:rPr>
      </w:pPr>
      <w:bookmarkStart w:id="0" w:name="P113"/>
      <w:bookmarkEnd w:id="0"/>
      <w:r>
        <w:rPr>
          <w:rFonts w:cs="Times New Roman" w:ascii="Times New Roman" w:hAnsi="Times New Roman"/>
          <w:color w:val="000000"/>
          <w:sz w:val="24"/>
          <w:szCs w:val="24"/>
        </w:rPr>
        <w:t xml:space="preserve">2.6. Исчерпывающий перечень документов, необходимых для предоставления муниципальной услуги </w:t>
      </w:r>
    </w:p>
    <w:p>
      <w:pPr>
        <w:pStyle w:val="ConsPlusNormal"/>
        <w:ind w:firstLine="567"/>
        <w:jc w:val="both"/>
        <w:rPr>
          <w:rFonts w:ascii="Times New Roman" w:hAnsi="Times New Roman"/>
          <w:color w:val="000000"/>
        </w:rPr>
      </w:pPr>
      <w:bookmarkStart w:id="1" w:name="Par0"/>
      <w:bookmarkEnd w:id="1"/>
      <w:r>
        <w:rPr>
          <w:rFonts w:eastAsia="Calibri" w:cs="Times New Roman" w:ascii="Times New Roman" w:hAnsi="Times New Roman"/>
          <w:color w:val="000000"/>
          <w:sz w:val="24"/>
          <w:szCs w:val="24"/>
          <w:lang w:eastAsia="en-US"/>
        </w:rPr>
        <w:t xml:space="preserve">2.6.1. </w:t>
      </w:r>
      <w:bookmarkStart w:id="2" w:name="Par7"/>
      <w:bookmarkEnd w:id="2"/>
      <w:r>
        <w:rPr>
          <w:rFonts w:eastAsia="Calibri" w:cs="Times New Roman" w:ascii="Times New Roman" w:hAnsi="Times New Roman"/>
          <w:color w:val="000000"/>
          <w:sz w:val="24"/>
          <w:szCs w:val="24"/>
          <w:lang w:eastAsia="en-US"/>
        </w:rPr>
        <w:t>Для принятия решения о выдаче разрешения на ввод объекта в эксплуатацию необходимы следующие документы:</w:t>
      </w:r>
    </w:p>
    <w:p>
      <w:pPr>
        <w:pStyle w:val="NoSpacing"/>
        <w:ind w:firstLine="567"/>
        <w:jc w:val="both"/>
        <w:rPr>
          <w:color w:val="000000"/>
          <w:sz w:val="24"/>
          <w:szCs w:val="24"/>
        </w:rPr>
      </w:pPr>
      <w:r>
        <w:rPr>
          <w:color w:val="000000"/>
          <w:sz w:val="24"/>
          <w:szCs w:val="24"/>
        </w:rPr>
        <w:t>1) правоустанавливающие документы на земельный участок, в том числе соглашение об установлении сервитута, решение об установлении публичного сервитута;</w:t>
      </w:r>
    </w:p>
    <w:p>
      <w:pPr>
        <w:pStyle w:val="NoSpacing"/>
        <w:ind w:firstLine="567"/>
        <w:jc w:val="both"/>
        <w:rPr>
          <w:color w:val="000000"/>
          <w:sz w:val="24"/>
          <w:szCs w:val="24"/>
        </w:rPr>
      </w:pPr>
      <w:r>
        <w:rPr>
          <w:color w:val="000000"/>
          <w:sz w:val="24"/>
          <w:szCs w:val="24"/>
        </w:rPr>
        <w:t>2) градостроительный план земельного участка, представленный для получения разрешения на строительство, или в случае строительства, реконструкции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p>
    <w:p>
      <w:pPr>
        <w:pStyle w:val="NoSpacing"/>
        <w:ind w:firstLine="567"/>
        <w:jc w:val="both"/>
        <w:rPr>
          <w:color w:val="000000"/>
          <w:sz w:val="24"/>
          <w:szCs w:val="24"/>
        </w:rPr>
      </w:pPr>
      <w:r>
        <w:rPr>
          <w:color w:val="000000"/>
          <w:sz w:val="24"/>
          <w:szCs w:val="24"/>
        </w:rPr>
        <w:t>3) разрешение на строительство;</w:t>
      </w:r>
    </w:p>
    <w:p>
      <w:pPr>
        <w:pStyle w:val="NoSpacing"/>
        <w:ind w:firstLine="567"/>
        <w:jc w:val="both"/>
        <w:rPr>
          <w:color w:val="000000"/>
          <w:sz w:val="24"/>
          <w:szCs w:val="24"/>
        </w:rPr>
      </w:pPr>
      <w:r>
        <w:rPr>
          <w:color w:val="000000"/>
          <w:sz w:val="24"/>
          <w:szCs w:val="24"/>
        </w:rPr>
        <w:t>4) акт приемки объекта капитального строительства (в случае осуществления строительства, реконструкции на основании договора строительного подряда);</w:t>
      </w:r>
    </w:p>
    <w:p>
      <w:pPr>
        <w:pStyle w:val="NoSpacing"/>
        <w:ind w:firstLine="567"/>
        <w:jc w:val="both"/>
        <w:rPr>
          <w:color w:val="000000"/>
          <w:sz w:val="24"/>
          <w:szCs w:val="24"/>
        </w:rPr>
      </w:pPr>
      <w:r>
        <w:rPr>
          <w:color w:val="000000"/>
          <w:sz w:val="24"/>
          <w:szCs w:val="24"/>
        </w:rPr>
        <w:t>5) акт,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w:t>
      </w:r>
    </w:p>
    <w:p>
      <w:pPr>
        <w:pStyle w:val="NoSpacing"/>
        <w:ind w:firstLine="567"/>
        <w:jc w:val="both"/>
        <w:rPr>
          <w:color w:val="000000"/>
          <w:sz w:val="24"/>
          <w:szCs w:val="24"/>
        </w:rPr>
      </w:pPr>
      <w:r>
        <w:rPr>
          <w:color w:val="000000"/>
          <w:sz w:val="24"/>
          <w:szCs w:val="24"/>
        </w:rPr>
        <w:t>6) документы, подтверждающие соответствие построенного, реконструированного объекта капитального строительства техническим условиям и подписанные представителями организаций, осуществляющих эксплуатацию сетей инженерно-технического обеспечения (при их наличии);</w:t>
      </w:r>
    </w:p>
    <w:p>
      <w:pPr>
        <w:pStyle w:val="NoSpacing"/>
        <w:ind w:firstLine="567"/>
        <w:jc w:val="both"/>
        <w:rPr>
          <w:color w:val="000000"/>
          <w:sz w:val="24"/>
          <w:szCs w:val="24"/>
        </w:rPr>
      </w:pPr>
      <w:r>
        <w:rPr>
          <w:color w:val="000000"/>
          <w:sz w:val="24"/>
          <w:szCs w:val="24"/>
        </w:rPr>
        <w:t>7) схема, отображающая расположение построенного, реконструированного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за исключением случаев строительства, реконструкции линейного объекта;</w:t>
      </w:r>
    </w:p>
    <w:p>
      <w:pPr>
        <w:pStyle w:val="NoSpacing"/>
        <w:ind w:firstLine="567"/>
        <w:jc w:val="both"/>
        <w:rPr>
          <w:color w:val="000000"/>
        </w:rPr>
      </w:pPr>
      <w:r>
        <w:rPr>
          <w:color w:val="000000"/>
          <w:sz w:val="24"/>
          <w:szCs w:val="24"/>
        </w:rPr>
        <w:t>8) заключение органа государственного строительного надзора (в случае, если предусмотрено осуществление государственного строительного надзора в соответствии с частью 1 статьи 54 Градостроительного кодекса) о соответствии построенного, реконструированного объекта капитального строительства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заключение уполномоченного на осуществление федерального государственного экологического надзора федерального органа исполнительной власти (далее - орган федерального государственного экологического надзора), выдаваемое в случаях, предусмотренных частью 7 статьи 54 Градостроительного кодекса;</w:t>
      </w:r>
    </w:p>
    <w:p>
      <w:pPr>
        <w:pStyle w:val="NoSpacing"/>
        <w:ind w:firstLine="567"/>
        <w:jc w:val="both"/>
        <w:rPr>
          <w:color w:val="000000"/>
        </w:rPr>
      </w:pPr>
      <w:r>
        <w:rPr>
          <w:color w:val="000000"/>
          <w:sz w:val="24"/>
          <w:szCs w:val="24"/>
        </w:rPr>
        <w:t>9)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p>
      <w:pPr>
        <w:pStyle w:val="NoSpacing"/>
        <w:ind w:firstLine="567"/>
        <w:jc w:val="both"/>
        <w:rPr>
          <w:color w:val="000000"/>
        </w:rPr>
      </w:pPr>
      <w:r>
        <w:rPr>
          <w:color w:val="000000"/>
          <w:sz w:val="24"/>
          <w:szCs w:val="24"/>
        </w:rPr>
        <w:t>10) акт приемки выполненных работ по сохранению объекта культурного наследия, утвержденный соответствующим органом охраны объектов культурного наследия, определенным Федеральным законом от 25 июня 2002 года N 73-ФЗ "Об объектах культурного наследия (памятниках истории и культуры) народов Российской Федерации", при проведении реставрации, консервации, ремонта этого объекта и его приспособления для современного использования;</w:t>
      </w:r>
    </w:p>
    <w:p>
      <w:pPr>
        <w:pStyle w:val="NoSpacing"/>
        <w:ind w:firstLine="567"/>
        <w:jc w:val="both"/>
        <w:rPr>
          <w:color w:val="000000"/>
        </w:rPr>
      </w:pPr>
      <w:r>
        <w:rPr>
          <w:color w:val="000000"/>
          <w:sz w:val="24"/>
          <w:szCs w:val="24"/>
        </w:rPr>
        <w:t>11) технический план объекта капитального строительства, подготовленный в соответствии с Федеральным законом от 13 июля 2015 года N 218-ФЗ "О государственной регистрации недвижимости"</w:t>
      </w:r>
    </w:p>
    <w:p>
      <w:pPr>
        <w:pStyle w:val="Normal"/>
        <w:ind w:firstLine="567"/>
        <w:jc w:val="both"/>
        <w:rPr>
          <w:color w:val="000000"/>
        </w:rPr>
      </w:pPr>
      <w:r>
        <w:rPr>
          <w:color w:val="000000"/>
          <w:sz w:val="24"/>
          <w:szCs w:val="24"/>
        </w:rPr>
        <w:t>Указанные в подпунктах 5 и 8 настоящего пункта документ (акт) и заключение должны содержать информацию о нормативных значениях показателей, включенных в состав требований энергетической эффективности объекта капитального строительства, и о фактических значениях таких показателей, определенных в отношении построенного, реконструированного объекта капитального строительства в результате проведенных исследований, замеров, экспертиз, испытаний, а также иную информацию, на основе которой устанавливается соответствие такого объекта требованиям энергетической эффективности и требованиям его оснащенности приборами учета используемых энергетических ресурсов. При строительстве, реконструкции многоквартирного дома заключение органа государственного строительного надзора также должно содержать информацию о классе энергетической эффективности многоквартирного дома, определяемом в соответствии с законодательством об энергосбережении и о повышении энергетической эффективности»</w:t>
      </w:r>
    </w:p>
    <w:p>
      <w:pPr>
        <w:pStyle w:val="ConsPlusNormal"/>
        <w:ind w:firstLine="567"/>
        <w:jc w:val="both"/>
        <w:rPr>
          <w:rFonts w:ascii="Times New Roman" w:hAnsi="Times New Roman"/>
          <w:color w:val="000000"/>
        </w:rPr>
      </w:pPr>
      <w:r>
        <w:rPr>
          <w:rFonts w:eastAsia="Calibri" w:cs="Times New Roman" w:ascii="Times New Roman" w:hAnsi="Times New Roman"/>
          <w:color w:val="000000"/>
          <w:sz w:val="24"/>
          <w:szCs w:val="24"/>
          <w:lang w:eastAsia="en-US"/>
        </w:rPr>
        <w:t>2.6.2.</w:t>
        <w:tab/>
        <w:t>В соответствии с ч.4 ст.55 Градостроительного кодекса могут устанавливаться помимо предусмотренных п.2.6.1 настоящего регламента иные документы, необходимые для получения разрешения на ввод объекта в эксплуатацию, в целях получения в полном объеме сведений, необходимых для постановки объекта капитального строительства на государственный учет.</w:t>
      </w:r>
    </w:p>
    <w:p>
      <w:pPr>
        <w:pStyle w:val="ConsPlusNormal"/>
        <w:ind w:firstLine="567"/>
        <w:jc w:val="both"/>
        <w:rPr>
          <w:rFonts w:ascii="Times New Roman" w:hAnsi="Times New Roman"/>
          <w:color w:val="000000"/>
        </w:rPr>
      </w:pPr>
      <w:r>
        <w:rPr>
          <w:rFonts w:eastAsia="Calibri" w:cs="Times New Roman" w:ascii="Times New Roman" w:hAnsi="Times New Roman"/>
          <w:color w:val="000000"/>
          <w:sz w:val="24"/>
          <w:szCs w:val="24"/>
          <w:lang w:eastAsia="en-US"/>
        </w:rPr>
        <w:t>2.6.3.</w:t>
      </w:r>
      <w:r>
        <w:rPr>
          <w:rFonts w:cs="Times New Roman" w:ascii="Times New Roman" w:hAnsi="Times New Roman"/>
          <w:color w:val="000000"/>
          <w:sz w:val="24"/>
          <w:szCs w:val="24"/>
        </w:rPr>
        <w:t xml:space="preserve"> </w:t>
      </w:r>
      <w:r>
        <w:rPr>
          <w:rFonts w:eastAsia="Calibri" w:cs="Times New Roman" w:ascii="Times New Roman" w:hAnsi="Times New Roman"/>
          <w:color w:val="000000"/>
          <w:sz w:val="24"/>
          <w:szCs w:val="24"/>
          <w:lang w:eastAsia="en-US"/>
        </w:rPr>
        <w:t>Документы (их копии или сведения, содержащиеся в них), указанные в подпунктах 1, 2, 3, 8 пункта 2.6.1. регламента, запрашиваются ОКС в рамках межведомственного взаимодействия,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заявитель не представил указанные документы самостоятельно.</w:t>
      </w:r>
    </w:p>
    <w:p>
      <w:pPr>
        <w:pStyle w:val="Normal"/>
        <w:ind w:firstLine="567"/>
        <w:jc w:val="both"/>
        <w:rPr>
          <w:color w:val="000000"/>
        </w:rPr>
      </w:pPr>
      <w:r>
        <w:rPr>
          <w:rFonts w:eastAsia="Calibri"/>
          <w:color w:val="000000"/>
          <w:sz w:val="24"/>
          <w:szCs w:val="24"/>
          <w:lang w:eastAsia="en-US"/>
        </w:rPr>
        <w:t xml:space="preserve">2.6.4. Документы, указанные в подпунктах 1, 4, 5, 6, 7 пункта 2.6.1 регламента направляются заявителем самостоятельно, если указанные документы (их копии или сведения, содержащиеся в них) отсутствуют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 </w:t>
      </w:r>
    </w:p>
    <w:p>
      <w:pPr>
        <w:pStyle w:val="Normal"/>
        <w:ind w:firstLine="567"/>
        <w:jc w:val="both"/>
        <w:rPr>
          <w:rFonts w:eastAsia="Calibri"/>
          <w:color w:val="000000"/>
          <w:sz w:val="24"/>
          <w:szCs w:val="24"/>
          <w:lang w:eastAsia="en-US"/>
        </w:rPr>
      </w:pPr>
      <w:bookmarkStart w:id="3" w:name="Par4"/>
      <w:bookmarkEnd w:id="3"/>
      <w:r>
        <w:rPr>
          <w:rFonts w:eastAsia="Calibri"/>
          <w:color w:val="000000"/>
          <w:sz w:val="24"/>
          <w:szCs w:val="24"/>
          <w:lang w:eastAsia="en-US"/>
        </w:rPr>
        <w:t xml:space="preserve">2.6.5. ОКС не вправе требовать от заявителя представление других документов кроме документов, истребование которых у заявителя допускается в соответствии с пунктами 2.6.1 и 2.6.2 настоящего регламента. </w:t>
      </w:r>
    </w:p>
    <w:p>
      <w:pPr>
        <w:pStyle w:val="Normal"/>
        <w:ind w:firstLine="567"/>
        <w:jc w:val="both"/>
        <w:rPr>
          <w:rFonts w:eastAsia="Calibri"/>
          <w:color w:val="000000"/>
          <w:sz w:val="24"/>
          <w:szCs w:val="24"/>
          <w:lang w:eastAsia="en-US"/>
        </w:rPr>
      </w:pPr>
      <w:r>
        <w:rPr>
          <w:rFonts w:eastAsia="Calibri"/>
          <w:color w:val="000000"/>
          <w:sz w:val="24"/>
          <w:szCs w:val="24"/>
          <w:lang w:eastAsia="en-US"/>
        </w:rPr>
        <w:t>2.6.6. Государственные органы, органы местного самоуправления и подведомственные государственным органам или органам местного самоуправления организации, в распоряжении которых находятся документы, указанные в пункте 2.6.4. настоящего регламента, обязаны направить в порядке межведомственного информационного взаимодействия в ОКС запрошенные ими сведения и документы. Запрошенные сведения и документы могут представляться на бумажном носителе, в форме электронного документа либо в виде заверенных уполномоченным лицом копий запрошенных документов, в том числе в форме электронного документа.</w:t>
      </w:r>
    </w:p>
    <w:p>
      <w:pPr>
        <w:pStyle w:val="ConsPlusNormal"/>
        <w:ind w:firstLine="567"/>
        <w:jc w:val="both"/>
        <w:rPr>
          <w:color w:val="000000"/>
        </w:rPr>
      </w:pPr>
      <w:bookmarkStart w:id="4" w:name="P133"/>
      <w:bookmarkStart w:id="5" w:name="P144"/>
      <w:bookmarkEnd w:id="4"/>
      <w:bookmarkEnd w:id="5"/>
      <w:r>
        <w:rPr>
          <w:rFonts w:cs="Times New Roman" w:ascii="Times New Roman" w:hAnsi="Times New Roman"/>
          <w:color w:val="000000"/>
          <w:sz w:val="24"/>
          <w:szCs w:val="24"/>
        </w:rPr>
        <w:t>2.6.7. Разрешение на ввод объекта в эксплуатацию не требуется в случае, если в соответствии с частью 17 статьи 51 Градостроительного кодекса для строительства или реконструкции объекта не требуется выдача разрешения на строительство.</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2.6.8.</w:t>
        <w:tab/>
        <w:t xml:space="preserve">В случае строительства или реконструкции объекта индивидуального жилищного строительства или садового дома застройщик в срок не позднее одного месяца со дня окончания строительства или реконструкции объекта индивидуального жилищного строительства или садового дома подает на бумажном носителе посредством личного обращения в ОКС, в том числе через МФЦ, либо направляет в указанные органы посредством почтового отправления с уведомлением о вручении или единого портала государственных и муниципальных услуг уведомление об окончании строительства или реконструкции объекта индивидуального жилищного строительства или садового дома (далее - уведомление об окончании строительства). </w:t>
      </w:r>
    </w:p>
    <w:p>
      <w:pPr>
        <w:pStyle w:val="ConsPlusNormal"/>
        <w:ind w:firstLine="567"/>
        <w:jc w:val="both"/>
        <w:rPr>
          <w:color w:val="000000"/>
        </w:rPr>
      </w:pPr>
      <w:r>
        <w:rPr>
          <w:rFonts w:cs="Times New Roman" w:ascii="Times New Roman" w:hAnsi="Times New Roman"/>
          <w:color w:val="000000"/>
          <w:sz w:val="24"/>
          <w:szCs w:val="24"/>
        </w:rPr>
        <w:t>Уведомление об окончании строительства должно содержать сведения, предусмотренные пунктами 1 - 5, 7 и 8 части 1 статьи 51.1 Градостроительного кодекса, а также сведения о параметрах построенных или реконструированных объекта индивидуального жилищного строительства или садового дома, об оплате государственной пошлины за осуществление государственной регистрации прав, о способе направления застройщику уведомления. К уведомлению об окончании строительства прилагаются:</w:t>
      </w:r>
    </w:p>
    <w:p>
      <w:pPr>
        <w:pStyle w:val="ConsPlusNormal"/>
        <w:ind w:firstLine="567"/>
        <w:jc w:val="both"/>
        <w:rPr>
          <w:rFonts w:ascii="Times New Roman" w:hAnsi="Times New Roman"/>
          <w:color w:val="000000"/>
        </w:rPr>
      </w:pPr>
      <w:bookmarkStart w:id="6" w:name="Par1"/>
      <w:bookmarkEnd w:id="6"/>
      <w:r>
        <w:rPr>
          <w:rFonts w:cs="Times New Roman" w:ascii="Times New Roman" w:hAnsi="Times New Roman"/>
          <w:color w:val="000000"/>
          <w:sz w:val="24"/>
          <w:szCs w:val="24"/>
        </w:rPr>
        <w:t>1) документ, подтверждающий полномочия представителя застройщика, в случае, если уведомление о планируемом строительстве направлено представителем застройщика;</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застройщиком является иностранное юридическое лицо;</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3) технический план объекта индивидуального жилищного строительства или садового дома;</w:t>
      </w:r>
    </w:p>
    <w:p>
      <w:pPr>
        <w:pStyle w:val="ConsPlusNormal"/>
        <w:ind w:firstLine="567"/>
        <w:jc w:val="both"/>
        <w:rPr>
          <w:rFonts w:ascii="Times New Roman" w:hAnsi="Times New Roman"/>
          <w:color w:val="000000"/>
        </w:rPr>
      </w:pPr>
      <w:bookmarkStart w:id="7" w:name="Par3"/>
      <w:bookmarkEnd w:id="7"/>
      <w:r>
        <w:rPr>
          <w:rFonts w:cs="Times New Roman" w:ascii="Times New Roman" w:hAnsi="Times New Roman"/>
          <w:color w:val="000000"/>
          <w:sz w:val="24"/>
          <w:szCs w:val="24"/>
        </w:rPr>
        <w:t>4) заключенное между правообладателями земельного участка соглашение об определении их долей в праве общей долевой собственности на построенные или реконструированные объект индивидуального жилищного строительства или садовый дом в случае, если земельный участок, на котором построен или реконструирован объект индивидуального жилищного строительства или садовый дом, принадлежит двум и более гражданам на праве общей долевой собственности или на праве аренды со множественностью лиц на стороне арендатора.</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2.7. Исчерпывающий перечень оснований для отказа в предоставлении муниципальной услуги</w:t>
      </w:r>
    </w:p>
    <w:p>
      <w:pPr>
        <w:pStyle w:val="ConsPlusNormal"/>
        <w:ind w:firstLine="567"/>
        <w:jc w:val="both"/>
        <w:rPr>
          <w:rFonts w:ascii="Times New Roman" w:hAnsi="Times New Roman" w:eastAsia="Calibri" w:cs="Times New Roman"/>
          <w:color w:val="000000"/>
          <w:sz w:val="24"/>
          <w:szCs w:val="24"/>
          <w:lang w:eastAsia="en-US"/>
        </w:rPr>
      </w:pPr>
      <w:r>
        <w:rPr>
          <w:rFonts w:eastAsia="Calibri" w:cs="Times New Roman" w:ascii="Times New Roman" w:hAnsi="Times New Roman"/>
          <w:color w:val="000000"/>
          <w:sz w:val="24"/>
          <w:szCs w:val="24"/>
          <w:lang w:eastAsia="en-US"/>
        </w:rPr>
        <w:t>2.7.1. Основанием для отказа в выдаче разрешения на ввод объекта в эксплуатацию является:</w:t>
      </w:r>
    </w:p>
    <w:p>
      <w:pPr>
        <w:pStyle w:val="Normal"/>
        <w:ind w:firstLine="567"/>
        <w:jc w:val="both"/>
        <w:rPr>
          <w:rFonts w:eastAsia="Calibri"/>
          <w:color w:val="000000"/>
          <w:sz w:val="24"/>
          <w:szCs w:val="24"/>
          <w:lang w:eastAsia="en-US"/>
        </w:rPr>
      </w:pPr>
      <w:r>
        <w:rPr>
          <w:rFonts w:eastAsia="Calibri"/>
          <w:color w:val="000000"/>
          <w:sz w:val="24"/>
          <w:szCs w:val="24"/>
          <w:lang w:eastAsia="en-US"/>
        </w:rPr>
        <w:t>1) отсутствие документов, указанных в пункте 2.6.1 и 2.6.2. регламента;</w:t>
      </w:r>
    </w:p>
    <w:p>
      <w:pPr>
        <w:pStyle w:val="Normal"/>
        <w:ind w:firstLine="567"/>
        <w:jc w:val="both"/>
        <w:rPr>
          <w:color w:val="000000"/>
        </w:rPr>
      </w:pPr>
      <w:r>
        <w:rPr>
          <w:rFonts w:eastAsia="Calibri"/>
          <w:color w:val="000000"/>
          <w:sz w:val="24"/>
          <w:szCs w:val="24"/>
          <w:lang w:eastAsia="en-US"/>
        </w:rPr>
        <w:t>2) несоответствие объекта капитального строительства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капитального ремонта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p>
    <w:p>
      <w:pPr>
        <w:pStyle w:val="Normal"/>
        <w:ind w:firstLine="567"/>
        <w:jc w:val="both"/>
        <w:rPr>
          <w:rFonts w:eastAsia="Calibri"/>
          <w:color w:val="000000"/>
          <w:sz w:val="24"/>
          <w:szCs w:val="24"/>
          <w:lang w:eastAsia="en-US"/>
        </w:rPr>
      </w:pPr>
      <w:r>
        <w:rPr>
          <w:rFonts w:eastAsia="Calibri"/>
          <w:color w:val="000000"/>
          <w:sz w:val="24"/>
          <w:szCs w:val="24"/>
          <w:lang w:eastAsia="en-US"/>
        </w:rPr>
        <w:t>3) несоответствие объекта капитального строительства требованиям, установленным в разрешении на строительство;</w:t>
      </w:r>
    </w:p>
    <w:p>
      <w:pPr>
        <w:pStyle w:val="Normal"/>
        <w:ind w:firstLine="567"/>
        <w:jc w:val="both"/>
        <w:rPr>
          <w:color w:val="000000"/>
        </w:rPr>
      </w:pPr>
      <w:r>
        <w:rPr>
          <w:rFonts w:eastAsia="Calibri"/>
          <w:color w:val="000000"/>
          <w:sz w:val="24"/>
          <w:szCs w:val="24"/>
          <w:lang w:eastAsia="en-US"/>
        </w:rPr>
        <w:t>4) несоответствие параметров построенного, реконструированного объекта капитального строительства проектной документации;</w:t>
      </w:r>
    </w:p>
    <w:p>
      <w:pPr>
        <w:pStyle w:val="Normal"/>
        <w:ind w:firstLine="567"/>
        <w:jc w:val="both"/>
        <w:rPr>
          <w:color w:val="000000"/>
        </w:rPr>
      </w:pPr>
      <w:r>
        <w:rPr>
          <w:rFonts w:eastAsia="Calibri"/>
          <w:color w:val="000000"/>
          <w:sz w:val="24"/>
          <w:szCs w:val="24"/>
          <w:lang w:eastAsia="en-US"/>
        </w:rPr>
        <w:t>5) несоответствие объекта капитального строительства разрешенному использованию земельного участка и (или) ограничениям, установленным в соответствии с земельным и иным законодательством Российской Федерации на дату выдачи разрешения на ввод объекта в эксплуатацию,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случаях, предусмотренных пунктом 9 части 7 статьи 51 Градостроительного кодекса, и строящийся, реконструируемый объект капитального строительства, в связи с размещением которого установлена или изменена зона с особыми условиями использования территории, не введен в эксплуатацию.</w:t>
      </w:r>
    </w:p>
    <w:p>
      <w:pPr>
        <w:pStyle w:val="Normal"/>
        <w:ind w:firstLine="567"/>
        <w:jc w:val="both"/>
        <w:rPr>
          <w:color w:val="000000"/>
        </w:rPr>
      </w:pPr>
      <w:r>
        <w:rPr>
          <w:rFonts w:eastAsia="Calibri"/>
          <w:color w:val="000000"/>
          <w:sz w:val="24"/>
          <w:szCs w:val="24"/>
          <w:lang w:eastAsia="en-US"/>
        </w:rPr>
        <w:t>2.7.2. Неполучение (несвоевременное получение) документов, запрошенных в соответствии с пунктами 2.6.3 и 2.6.4. регламента, не может являться основанием для отказа в предоставлении муниципальной услуги.</w:t>
      </w:r>
    </w:p>
    <w:p>
      <w:pPr>
        <w:pStyle w:val="Normal"/>
        <w:ind w:firstLine="567"/>
        <w:jc w:val="both"/>
        <w:rPr>
          <w:color w:val="000000"/>
        </w:rPr>
      </w:pPr>
      <w:r>
        <w:rPr>
          <w:rFonts w:eastAsia="Calibri"/>
          <w:color w:val="000000"/>
          <w:sz w:val="24"/>
          <w:szCs w:val="24"/>
          <w:lang w:eastAsia="en-US"/>
        </w:rPr>
        <w:t xml:space="preserve">2.7.3. Основанием для отказа в выдаче разрешения на ввод объекта в эксплуатацию, кроме указанных в пункте 2.7.1. оснований, является невыполнение застройщиком требований, предусмотренных частью 18 статьи 51 Градостроительного кодекса. </w:t>
      </w:r>
    </w:p>
    <w:p>
      <w:pPr>
        <w:pStyle w:val="Normal"/>
        <w:ind w:firstLine="567"/>
        <w:jc w:val="both"/>
        <w:rPr>
          <w:color w:val="000000"/>
        </w:rPr>
      </w:pPr>
      <w:r>
        <w:rPr>
          <w:rFonts w:eastAsia="Calibri"/>
          <w:color w:val="000000"/>
          <w:sz w:val="24"/>
          <w:szCs w:val="24"/>
          <w:lang w:eastAsia="en-US"/>
        </w:rPr>
        <w:t xml:space="preserve">В таком случае разрешение на ввод объекта в эксплуатацию выдается только после передачи безвозмездно в орган местного самоуправления, выдавший разрешение на строительство, сведений о площади, о высоте и количестве этажей планируемого объекта капитального строительства, о сетях инженерно-технического обеспечения, одного экземпляра копии результатов инженерных изысканий и по одному экземпляру копий разделов проектной документации, предусмотренных пунктами 2, 8 - 10 и 11.1 части 12 статьи 48 Градостроительного кодекса, </w:t>
      </w:r>
      <w:r>
        <w:rPr>
          <w:color w:val="000000"/>
          <w:sz w:val="24"/>
          <w:szCs w:val="24"/>
        </w:rPr>
        <w:t>а в случае строительства или реконструкции объекта капитального строительства в границах территории исторического поселения также предусмотренного пунктом 3 части 12 статьи 48 Градостроительного кодекса раздела проектной документации объекта капитального строительства (за исключением случая, если строительство или реконструкция объекта капитального строительства осуществлялись в соответствии с типовым архитектурным решением объекта капитального строительства)</w:t>
      </w:r>
      <w:r>
        <w:rPr>
          <w:rFonts w:eastAsia="Calibri"/>
          <w:color w:val="000000"/>
          <w:sz w:val="24"/>
          <w:szCs w:val="24"/>
          <w:lang w:eastAsia="en-US"/>
        </w:rPr>
        <w:t>.</w:t>
      </w:r>
    </w:p>
    <w:p>
      <w:pPr>
        <w:pStyle w:val="Normal"/>
        <w:ind w:firstLine="567"/>
        <w:jc w:val="both"/>
        <w:rPr>
          <w:rFonts w:eastAsia="Calibri"/>
          <w:color w:val="000000"/>
          <w:sz w:val="24"/>
          <w:szCs w:val="24"/>
          <w:lang w:eastAsia="en-US"/>
        </w:rPr>
      </w:pPr>
      <w:r>
        <w:rPr>
          <w:rFonts w:eastAsia="Calibri"/>
          <w:color w:val="000000"/>
          <w:sz w:val="24"/>
          <w:szCs w:val="24"/>
          <w:lang w:eastAsia="en-US"/>
        </w:rPr>
        <w:t>2.7.4. Отказ в выдаче разрешения на ввод объекта в эксплуатацию может быть оспорен в судебном порядке.</w:t>
      </w:r>
    </w:p>
    <w:p>
      <w:pPr>
        <w:pStyle w:val="Normal"/>
        <w:ind w:firstLine="567"/>
        <w:jc w:val="both"/>
        <w:rPr>
          <w:color w:val="000000"/>
        </w:rPr>
      </w:pPr>
      <w:r>
        <w:rPr>
          <w:rFonts w:eastAsia="Calibri"/>
          <w:color w:val="000000"/>
          <w:sz w:val="24"/>
          <w:szCs w:val="24"/>
          <w:lang w:eastAsia="en-US"/>
        </w:rPr>
        <w:t>2.7.5.</w:t>
        <w:tab/>
        <w:t>В случаях, предусмотренных ч.17 статьи 55 Градостроительного кодекса, ОКС в течение трех рабочих дней со дня поступления уведомления об окончании строительства возвращает застройщику уведомление об окончании строительства и прилагаемые к нему документы без рассмотрения с указанием причин возврата. В этом случае уведомление об окончании строительства считается ненаправленным.</w:t>
      </w:r>
    </w:p>
    <w:p>
      <w:pPr>
        <w:pStyle w:val="Normal"/>
        <w:ind w:firstLine="567"/>
        <w:jc w:val="both"/>
        <w:rPr>
          <w:rFonts w:eastAsia="Calibri"/>
          <w:color w:val="000000"/>
          <w:sz w:val="24"/>
          <w:szCs w:val="24"/>
          <w:lang w:eastAsia="en-US"/>
        </w:rPr>
      </w:pPr>
      <w:r>
        <w:rPr>
          <w:rFonts w:eastAsia="Calibri"/>
          <w:color w:val="000000"/>
          <w:sz w:val="24"/>
          <w:szCs w:val="24"/>
          <w:lang w:eastAsia="en-US"/>
        </w:rPr>
        <w:t>2.7.6.</w:t>
        <w:tab/>
        <w:t>Уведомление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направляется только в случаях, предусмотренных частью 20 ст.55 Градостроительного кодекса.</w:t>
      </w:r>
    </w:p>
    <w:p>
      <w:pPr>
        <w:pStyle w:val="Normal"/>
        <w:ind w:firstLine="567"/>
        <w:jc w:val="both"/>
        <w:rPr>
          <w:color w:val="000000"/>
        </w:rPr>
      </w:pPr>
      <w:r>
        <w:rPr>
          <w:color w:val="000000"/>
          <w:sz w:val="24"/>
          <w:szCs w:val="24"/>
        </w:rPr>
        <w:t>2.8. Порядок, размер и основания взимания государственной пошлины или иной платы за предоставление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Муниципальная услуга оказывается без взимания платы.</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2.9. Срок и порядок регистрации заявления о предоставлении муниципальной услуги, в том числе в электронной форме</w:t>
      </w:r>
    </w:p>
    <w:p>
      <w:pPr>
        <w:pStyle w:val="Normal"/>
        <w:ind w:firstLine="567"/>
        <w:jc w:val="both"/>
        <w:rPr>
          <w:color w:val="000000"/>
        </w:rPr>
      </w:pPr>
      <w:r>
        <w:rPr>
          <w:rFonts w:eastAsia="Calibri"/>
          <w:color w:val="000000"/>
          <w:sz w:val="24"/>
          <w:szCs w:val="24"/>
          <w:lang w:eastAsia="en-US"/>
        </w:rPr>
        <w:t>2.9.1. Заявление о предоставлении муниципальной услуги и прилагаемые к нему документы подаются заявителем в ОКС либо в МФЦ.</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Порядок приема заявления и прилагаемых к нему документов сотрудниками МФЦ, а также порядок передачи принятых документов в ОКС регулируется Регламентом деятельности МФЦ.</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При поступлении заявления из МФЦ оно регистрируется специалистом ОКС по правилам делопроизводства.</w:t>
      </w:r>
    </w:p>
    <w:p>
      <w:pPr>
        <w:pStyle w:val="Normal"/>
        <w:ind w:firstLine="567"/>
        <w:jc w:val="both"/>
        <w:rPr>
          <w:color w:val="000000"/>
        </w:rPr>
      </w:pPr>
      <w:r>
        <w:rPr>
          <w:rFonts w:eastAsia="Calibri"/>
          <w:color w:val="000000"/>
          <w:sz w:val="24"/>
          <w:szCs w:val="24"/>
          <w:lang w:eastAsia="en-US"/>
        </w:rPr>
        <w:t>2.9.2. Срок регистрации заявления о предоставлении муниципальной услуги составляет не более 15 минут.</w:t>
      </w:r>
    </w:p>
    <w:p>
      <w:pPr>
        <w:pStyle w:val="Normal"/>
        <w:ind w:firstLine="567"/>
        <w:jc w:val="both"/>
        <w:rPr>
          <w:color w:val="000000"/>
        </w:rPr>
      </w:pPr>
      <w:r>
        <w:rPr>
          <w:rFonts w:eastAsia="Calibri"/>
          <w:color w:val="000000"/>
          <w:sz w:val="24"/>
          <w:szCs w:val="24"/>
          <w:lang w:eastAsia="en-US"/>
        </w:rPr>
        <w:t>2.10. Требования к помещениям, в которых предоставляется муниципальная услуга, услуга, предоставляемая организацией, участвующей в предоставлении муниципальной услуги, к месту ожидания и приема заявителей, размещению и оформлению визуальной и информации о порядке предоставления таких услуг.</w:t>
      </w:r>
    </w:p>
    <w:p>
      <w:pPr>
        <w:pStyle w:val="Normal"/>
        <w:ind w:firstLine="567"/>
        <w:jc w:val="both"/>
        <w:rPr>
          <w:color w:val="000000"/>
        </w:rPr>
      </w:pPr>
      <w:r>
        <w:rPr>
          <w:rFonts w:eastAsia="Calibri"/>
          <w:color w:val="000000"/>
          <w:sz w:val="24"/>
          <w:szCs w:val="24"/>
          <w:lang w:eastAsia="en-US"/>
        </w:rPr>
        <w:t>2.10.1. Места ожидания приема граждан и заполнения ими необходимых документов должны быть оборудованы в достаточном количестве стульями, столами, письменными принадлежностями.</w:t>
      </w:r>
    </w:p>
    <w:p>
      <w:pPr>
        <w:pStyle w:val="Normal"/>
        <w:ind w:firstLine="567"/>
        <w:jc w:val="both"/>
        <w:rPr>
          <w:color w:val="000000"/>
        </w:rPr>
      </w:pPr>
      <w:r>
        <w:rPr>
          <w:rFonts w:eastAsia="Calibri"/>
          <w:color w:val="000000"/>
          <w:sz w:val="24"/>
          <w:szCs w:val="24"/>
          <w:lang w:eastAsia="en-US"/>
        </w:rPr>
        <w:t>2.10.2. В целях организации беспрепятственного доступа инвалидов (включая инвалидов, использующих кресла-коляски и собак-проводников) к месту предоставления муниципальной услуги им обеспечиваются:</w:t>
      </w:r>
    </w:p>
    <w:p>
      <w:pPr>
        <w:pStyle w:val="Normal"/>
        <w:widowControl w:val="false"/>
        <w:ind w:firstLine="567"/>
        <w:jc w:val="both"/>
        <w:rPr>
          <w:color w:val="000000"/>
          <w:sz w:val="24"/>
          <w:szCs w:val="24"/>
        </w:rPr>
      </w:pPr>
      <w:r>
        <w:rPr>
          <w:color w:val="000000"/>
          <w:sz w:val="24"/>
          <w:szCs w:val="24"/>
        </w:rPr>
        <w:t>1) условия для беспрепятственного доступа к объекту (зданию, помещению), в котором предоставляется муниципальная услуга;</w:t>
      </w:r>
    </w:p>
    <w:p>
      <w:pPr>
        <w:pStyle w:val="Normal"/>
        <w:widowControl w:val="false"/>
        <w:ind w:firstLine="567"/>
        <w:jc w:val="both"/>
        <w:rPr>
          <w:color w:val="000000"/>
          <w:sz w:val="24"/>
          <w:szCs w:val="24"/>
        </w:rPr>
      </w:pPr>
      <w:r>
        <w:rPr>
          <w:color w:val="000000"/>
          <w:sz w:val="24"/>
          <w:szCs w:val="24"/>
        </w:rPr>
        <w:t>2) возможность самостоятельного передвижения по территории, на которой расположены объекты (здания, помещения), в которых предоставляется муниципальная услуга, а также входа в такие объекты и выхода из них, посадки в транспортное средство и высадки из него, в том числе с использованием кресла-коляски;</w:t>
      </w:r>
    </w:p>
    <w:p>
      <w:pPr>
        <w:pStyle w:val="Normal"/>
        <w:widowControl w:val="false"/>
        <w:ind w:firstLine="567"/>
        <w:jc w:val="both"/>
        <w:rPr>
          <w:color w:val="000000"/>
          <w:sz w:val="24"/>
          <w:szCs w:val="24"/>
        </w:rPr>
      </w:pPr>
      <w:r>
        <w:rPr>
          <w:color w:val="000000"/>
          <w:sz w:val="24"/>
          <w:szCs w:val="24"/>
        </w:rPr>
        <w:t>3) сопровождение инвалидов, имеющих стойкие расстройства функции зрения и самостоятельного передвижения;</w:t>
      </w:r>
    </w:p>
    <w:p>
      <w:pPr>
        <w:pStyle w:val="Normal"/>
        <w:widowControl w:val="false"/>
        <w:ind w:firstLine="567"/>
        <w:jc w:val="both"/>
        <w:rPr>
          <w:color w:val="000000"/>
        </w:rPr>
      </w:pPr>
      <w:r>
        <w:rPr>
          <w:color w:val="000000"/>
          <w:sz w:val="24"/>
          <w:szCs w:val="24"/>
        </w:rPr>
        <w:t>4) надлежащее размещение оборудования и носителей информации, необходимых для обеспечения беспрепятственного доступа инвалидов к объектам (зданиям, помещениям), в которых предоставляется муниципальная (государственная) услуга, с учетом ограничений их жизнедеятельности;</w:t>
      </w:r>
    </w:p>
    <w:p>
      <w:pPr>
        <w:pStyle w:val="Normal"/>
        <w:widowControl w:val="false"/>
        <w:ind w:firstLine="567"/>
        <w:jc w:val="both"/>
        <w:rPr>
          <w:color w:val="000000"/>
          <w:sz w:val="24"/>
          <w:szCs w:val="24"/>
        </w:rPr>
      </w:pPr>
      <w:r>
        <w:rPr>
          <w:color w:val="000000"/>
          <w:sz w:val="24"/>
          <w:szCs w:val="24"/>
        </w:rPr>
        <w:t>5) дублирование необходимой для инвалидов звуковой и зрительной информации, а также надписей, знаков и иной текстовой и графической информации знаками, выполненными рельефно-точечным шрифтом Брайля;</w:t>
      </w:r>
    </w:p>
    <w:p>
      <w:pPr>
        <w:pStyle w:val="Normal"/>
        <w:widowControl w:val="false"/>
        <w:ind w:firstLine="567"/>
        <w:jc w:val="both"/>
        <w:rPr>
          <w:color w:val="000000"/>
          <w:sz w:val="24"/>
          <w:szCs w:val="24"/>
        </w:rPr>
      </w:pPr>
      <w:r>
        <w:rPr>
          <w:color w:val="000000"/>
          <w:sz w:val="24"/>
          <w:szCs w:val="24"/>
        </w:rPr>
        <w:t>6) допуск сурдопереводчика и тифлосурдопереводчика;</w:t>
      </w:r>
    </w:p>
    <w:p>
      <w:pPr>
        <w:pStyle w:val="Normal"/>
        <w:widowControl w:val="false"/>
        <w:ind w:firstLine="567"/>
        <w:jc w:val="both"/>
        <w:rPr>
          <w:color w:val="000000"/>
          <w:sz w:val="24"/>
          <w:szCs w:val="24"/>
        </w:rPr>
      </w:pPr>
      <w:r>
        <w:rPr>
          <w:color w:val="000000"/>
          <w:sz w:val="24"/>
          <w:szCs w:val="24"/>
        </w:rPr>
        <w:t>7) допуск собаки-проводника на объекты (здания, помещения), в которых предоставляется муниципальная услуга, при наличии документа, подтверждающего ее специальное обучение и выдаваемого по форме и в порядке, которые установлены приказом Министерства труда и социальной защиты Российской Федерации от 22 июня 2015 года №386н «Об утверждении формы документа, подтверждающего специальное обучение собаки-проводника, и порядка его выдачи»;</w:t>
      </w:r>
    </w:p>
    <w:p>
      <w:pPr>
        <w:pStyle w:val="Normal"/>
        <w:widowControl w:val="false"/>
        <w:ind w:firstLine="567"/>
        <w:jc w:val="both"/>
        <w:rPr>
          <w:color w:val="000000"/>
          <w:sz w:val="24"/>
          <w:szCs w:val="24"/>
        </w:rPr>
      </w:pPr>
      <w:r>
        <w:rPr>
          <w:color w:val="000000"/>
          <w:sz w:val="24"/>
          <w:szCs w:val="24"/>
        </w:rPr>
        <w:t>8) оказание инвалидам помощи в преодолении барьеров, мешающих получению ими муниципальной услуги наравне с другими лицами.</w:t>
      </w:r>
    </w:p>
    <w:p>
      <w:pPr>
        <w:pStyle w:val="Normal"/>
        <w:widowControl w:val="false"/>
        <w:ind w:firstLine="567"/>
        <w:jc w:val="both"/>
        <w:rPr>
          <w:color w:val="000000"/>
        </w:rPr>
      </w:pPr>
      <w:r>
        <w:rPr>
          <w:color w:val="000000"/>
          <w:sz w:val="24"/>
          <w:szCs w:val="24"/>
        </w:rPr>
        <w:t>В случае невозможности полностью приспособить объект с учетом потребности инвалида собственник данного объекта обеспечивает инвалиду доступ к месту предоставления муниципальной услуги, либо, когда это возможно, ее предоставление обеспечивается по месту жительства инвалида или в дистанционном режиме.</w:t>
      </w:r>
    </w:p>
    <w:p>
      <w:pPr>
        <w:pStyle w:val="Normal"/>
        <w:ind w:firstLine="567"/>
        <w:jc w:val="both"/>
        <w:rPr>
          <w:color w:val="000000"/>
        </w:rPr>
      </w:pPr>
      <w:r>
        <w:rPr>
          <w:rFonts w:eastAsia="Calibri"/>
          <w:color w:val="000000"/>
          <w:sz w:val="24"/>
          <w:szCs w:val="24"/>
          <w:lang w:eastAsia="en-US"/>
        </w:rPr>
        <w:t>2.11. Показатели доступности и качества муниципальной услуги.</w:t>
      </w:r>
    </w:p>
    <w:p>
      <w:pPr>
        <w:pStyle w:val="Normal"/>
        <w:ind w:firstLine="567"/>
        <w:jc w:val="both"/>
        <w:rPr>
          <w:color w:val="000000"/>
        </w:rPr>
      </w:pPr>
      <w:r>
        <w:rPr>
          <w:rFonts w:eastAsia="Calibri"/>
          <w:color w:val="000000"/>
          <w:sz w:val="24"/>
          <w:szCs w:val="24"/>
          <w:lang w:eastAsia="en-US"/>
        </w:rPr>
        <w:t>2.11.1. ОКС посредством соблюдения сроков предоставления муниципальной услуги, а также порядка предоставления муниципальной</w:t>
      </w:r>
      <w:r>
        <w:rPr>
          <w:color w:val="000000"/>
          <w:sz w:val="24"/>
          <w:szCs w:val="24"/>
        </w:rPr>
        <w:t xml:space="preserve"> услуги, установленных настоящим регламентом, обеспечивает качество и доступность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Заявителям обеспечивается возможность получения информации о порядке предоставления муниципальной услуги на официальном сайте администрации Шарангского муниципального района в информационно-телекоммуникационной сети "Интернет" и на Едином портале государственных и муниципальных услуг и на Портале государственных и муниципальных услуг Нижегородской области.</w:t>
      </w:r>
    </w:p>
    <w:p>
      <w:pPr>
        <w:pStyle w:val="Normal"/>
        <w:ind w:firstLine="567"/>
        <w:jc w:val="both"/>
        <w:rPr>
          <w:color w:val="000000"/>
        </w:rPr>
      </w:pPr>
      <w:r>
        <w:rPr>
          <w:rFonts w:eastAsia="Calibri"/>
          <w:color w:val="000000"/>
          <w:sz w:val="24"/>
          <w:szCs w:val="24"/>
          <w:lang w:eastAsia="en-US"/>
        </w:rPr>
        <w:t>2.11.2. Показатели доступности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обеспечение предоставления беспрепятственного доступа лиц с ограниченными возможностями передвижения к помещениям, в которых предоставляется муниципальная услуга;</w:t>
      </w:r>
    </w:p>
    <w:p>
      <w:pPr>
        <w:pStyle w:val="Normal"/>
        <w:ind w:firstLine="567"/>
        <w:jc w:val="both"/>
        <w:rPr>
          <w:color w:val="000000"/>
          <w:sz w:val="24"/>
          <w:szCs w:val="24"/>
        </w:rPr>
      </w:pPr>
      <w:r>
        <w:rPr>
          <w:color w:val="000000"/>
          <w:sz w:val="24"/>
          <w:szCs w:val="24"/>
        </w:rPr>
        <w:t>- обеспечение предоставления муниципальной услуги с использованием возможностей областной государственной информационной системы «Портал государственных и муниципальных услуг (функций) Нижегородской области» и федеральной государственной информационной системы «Единый портал государственных и муниципальных услуг (функций)»;</w:t>
      </w:r>
    </w:p>
    <w:p>
      <w:pPr>
        <w:pStyle w:val="Normal"/>
        <w:ind w:firstLine="567"/>
        <w:jc w:val="both"/>
        <w:rPr>
          <w:color w:val="000000"/>
          <w:sz w:val="24"/>
          <w:szCs w:val="24"/>
        </w:rPr>
      </w:pPr>
      <w:r>
        <w:rPr>
          <w:color w:val="000000"/>
          <w:sz w:val="24"/>
          <w:szCs w:val="24"/>
        </w:rPr>
        <w:t>- размещение информации о порядке предоставления муниципальной услуги на официальном сайте администрации;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наличие информации о графике работы ОКС, МФЦ;</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оказание услуги бесплатно.</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Показатели качества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соответствие требованиям регламента;</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соблюдение сроков предоставления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наличие (отсутствие) обоснованных жалоб.</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2.12. Иные требования, в том числе учитывающие особенности предоставления муниципальной услуги в электронной форме</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2.12.1. Перевод муниципальной услуги в электронный вид предоставляет заявителям следующие возможности: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 получение информации об услуге на Едином портале государственных и муниципальных услуг и на Портале государственных и муниципальных услуг Нижегородской области;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копирование форм заявления и иных документов, необходимых для получения услуги, заполнение этих форм в электронном виде;</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 представление документов в электронном виде через Единый портал государственных и муниципальных услуг и на Портале государственных и муниципальных услуг Нижегородской области.</w:t>
      </w:r>
    </w:p>
    <w:p>
      <w:pPr>
        <w:pStyle w:val="Normal"/>
        <w:ind w:firstLine="567"/>
        <w:jc w:val="both"/>
        <w:rPr>
          <w:color w:val="000000"/>
        </w:rPr>
      </w:pPr>
      <w:r>
        <w:rPr>
          <w:rFonts w:eastAsia="Calibri"/>
          <w:color w:val="000000"/>
          <w:sz w:val="24"/>
          <w:szCs w:val="24"/>
          <w:lang w:eastAsia="en-US"/>
        </w:rPr>
        <w:t>2.12.2. При обращении заявителя(ей) в электронной форме за получением муниципальной услуги заявление и каждый прилагаемый к нему документ подписываются тем видом электронной подписи, допустимость использования которого установлена федеральными законами, регламентирующими порядок предоставления государственной или муниципальной услуги либо порядок выдачи документа, включаемого в пакет документов.</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случаях, если указанными федеральными законами используемый вид электронной подписи не установлен, вид электронной подписи определяется в соответствии с Правилами определения видов электронной подписи, использование которых допускается при обращении за получением государственных и муниципальных услуг, утвержденными постановлением Правительства РФ от 25.06.2012 N 634.</w:t>
      </w:r>
    </w:p>
    <w:p>
      <w:pPr>
        <w:pStyle w:val="Normal"/>
        <w:numPr>
          <w:ilvl w:val="0"/>
          <w:numId w:val="0"/>
        </w:numPr>
        <w:ind w:firstLine="567"/>
        <w:jc w:val="center"/>
        <w:outlineLvl w:val="0"/>
        <w:rPr>
          <w:rFonts w:eastAsia="Calibri"/>
          <w:color w:val="000000"/>
          <w:sz w:val="24"/>
          <w:szCs w:val="24"/>
          <w:lang w:eastAsia="en-US"/>
        </w:rPr>
      </w:pPr>
      <w:r>
        <w:rPr>
          <w:rFonts w:eastAsia="Calibri"/>
          <w:color w:val="000000"/>
          <w:sz w:val="24"/>
          <w:szCs w:val="24"/>
          <w:lang w:eastAsia="en-US"/>
        </w:rPr>
      </w:r>
    </w:p>
    <w:p>
      <w:pPr>
        <w:pStyle w:val="Normal"/>
        <w:numPr>
          <w:ilvl w:val="0"/>
          <w:numId w:val="0"/>
        </w:numPr>
        <w:ind w:firstLine="567"/>
        <w:jc w:val="center"/>
        <w:outlineLvl w:val="0"/>
        <w:rPr>
          <w:color w:val="000000"/>
        </w:rPr>
      </w:pPr>
      <w:r>
        <w:rPr>
          <w:rFonts w:eastAsia="Calibri"/>
          <w:color w:val="000000"/>
          <w:sz w:val="24"/>
          <w:szCs w:val="24"/>
          <w:lang w:eastAsia="en-US"/>
        </w:rPr>
        <w:t>III. СОСТАВ, ПОСЛЕДОВАТЕЛЬНОСТЬ И СРОКИ ВЫПОЛНЕНИЯ АДМИНИСТРАТИВНЫХ ПРОЦЕДУР, ТРЕБОВАНИЯ К ПОРЯДКУ ИХ ВЫПОЛНЕНИЯ</w:t>
      </w:r>
    </w:p>
    <w:p>
      <w:pPr>
        <w:pStyle w:val="Normal"/>
        <w:numPr>
          <w:ilvl w:val="0"/>
          <w:numId w:val="0"/>
        </w:numPr>
        <w:ind w:firstLine="567"/>
        <w:jc w:val="center"/>
        <w:outlineLvl w:val="0"/>
        <w:rPr>
          <w:rFonts w:eastAsia="Calibri"/>
          <w:color w:val="000000"/>
          <w:sz w:val="24"/>
          <w:szCs w:val="24"/>
          <w:lang w:eastAsia="en-US"/>
        </w:rPr>
      </w:pPr>
      <w:r>
        <w:rPr>
          <w:rFonts w:eastAsia="Calibri"/>
          <w:color w:val="000000"/>
          <w:sz w:val="24"/>
          <w:szCs w:val="24"/>
          <w:lang w:eastAsia="en-US"/>
        </w:rPr>
      </w:r>
    </w:p>
    <w:p>
      <w:pPr>
        <w:pStyle w:val="Normal"/>
        <w:numPr>
          <w:ilvl w:val="0"/>
          <w:numId w:val="0"/>
        </w:numPr>
        <w:ind w:firstLine="567"/>
        <w:jc w:val="both"/>
        <w:outlineLvl w:val="1"/>
        <w:rPr>
          <w:color w:val="000000"/>
        </w:rPr>
      </w:pPr>
      <w:r>
        <w:rPr>
          <w:rFonts w:eastAsia="Calibri"/>
          <w:color w:val="000000"/>
          <w:sz w:val="24"/>
          <w:szCs w:val="24"/>
          <w:lang w:eastAsia="en-US"/>
        </w:rPr>
        <w:t>3.1. Состав административных процедур по предоставлению муниципальной услуги при непосредственном обращении в ОКС.</w:t>
      </w:r>
    </w:p>
    <w:p>
      <w:pPr>
        <w:pStyle w:val="Normal"/>
        <w:ind w:firstLine="567"/>
        <w:jc w:val="both"/>
        <w:rPr>
          <w:color w:val="000000"/>
        </w:rPr>
      </w:pPr>
      <w:r>
        <w:rPr>
          <w:rFonts w:eastAsia="Calibri"/>
          <w:color w:val="000000"/>
          <w:sz w:val="24"/>
          <w:szCs w:val="24"/>
          <w:lang w:eastAsia="en-US"/>
        </w:rPr>
        <w:t>3.1.1. Административные процедуры по предоставлению муниципальной услуги включают в себя:</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прием и регистрация заявления о предоставлении муниципальной услуги и документов при непосредственном обращении в ОКС;</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формирование и направление межведомственного запроса, получение документов по каналам межведомственного взаимодействия;</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осмотр объекта капитального строительства, подлежащего вводу в эксплуатацию;</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подготовка проекта разрешения на ввод объекта в эксплуатацию или отказа в выдаче разрешения на ввод объекта в эксплуатацию;</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выдача результата предоставления муниципальной услуги заявителю.</w:t>
      </w:r>
    </w:p>
    <w:p>
      <w:pPr>
        <w:pStyle w:val="Normal"/>
        <w:ind w:firstLine="567"/>
        <w:jc w:val="both"/>
        <w:rPr>
          <w:color w:val="000000"/>
        </w:rPr>
      </w:pPr>
      <w:r>
        <w:rPr>
          <w:rFonts w:eastAsia="Calibri"/>
          <w:color w:val="000000"/>
          <w:sz w:val="24"/>
          <w:szCs w:val="24"/>
          <w:lang w:eastAsia="en-US"/>
        </w:rPr>
        <w:t>3.1.2. Состав и описание административных процедур по подготовке и направлению уведомлений о соответствии или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рассмотрен в п. 3.7 настоящего регламента.</w:t>
      </w:r>
    </w:p>
    <w:p>
      <w:pPr>
        <w:pStyle w:val="Normal"/>
        <w:ind w:firstLine="567"/>
        <w:jc w:val="both"/>
        <w:rPr>
          <w:color w:val="000000"/>
        </w:rPr>
      </w:pPr>
      <w:r>
        <w:rPr>
          <w:rFonts w:eastAsia="Calibri"/>
          <w:color w:val="000000"/>
          <w:sz w:val="24"/>
          <w:szCs w:val="24"/>
          <w:lang w:eastAsia="en-US"/>
        </w:rPr>
        <w:t>3.1.3. Особенности выполнения административных процедур при получении услуги в МФЦ рассмотрены в п.3.8. настоящего регламента.</w:t>
      </w:r>
    </w:p>
    <w:p>
      <w:pPr>
        <w:pStyle w:val="Normal"/>
        <w:numPr>
          <w:ilvl w:val="0"/>
          <w:numId w:val="0"/>
        </w:numPr>
        <w:ind w:firstLine="567"/>
        <w:jc w:val="both"/>
        <w:outlineLvl w:val="1"/>
        <w:rPr>
          <w:color w:val="000000"/>
        </w:rPr>
      </w:pPr>
      <w:r>
        <w:rPr>
          <w:rFonts w:eastAsia="Calibri"/>
          <w:color w:val="000000"/>
          <w:sz w:val="24"/>
          <w:szCs w:val="24"/>
          <w:lang w:eastAsia="en-US"/>
        </w:rPr>
        <w:t>3.2. Прием и регистрация заявления о предоставлении муниципальной услуги и документов в ОКС.</w:t>
      </w:r>
    </w:p>
    <w:p>
      <w:pPr>
        <w:pStyle w:val="Normal"/>
        <w:ind w:firstLine="567"/>
        <w:jc w:val="both"/>
        <w:rPr>
          <w:color w:val="000000"/>
        </w:rPr>
      </w:pPr>
      <w:r>
        <w:rPr>
          <w:rFonts w:eastAsia="Calibri"/>
          <w:color w:val="000000"/>
          <w:sz w:val="24"/>
          <w:szCs w:val="24"/>
          <w:lang w:eastAsia="en-US"/>
        </w:rPr>
        <w:t xml:space="preserve">3.2.1. Основанием для начала административной процедуры является подача заявления о предоставлении муниципальной услуги и прилагаемых документов, указанных в п. 2.6.1 и 2.6.2 настоящего регламента, в ОКС. </w:t>
      </w:r>
    </w:p>
    <w:p>
      <w:pPr>
        <w:pStyle w:val="Normal"/>
        <w:ind w:firstLine="567"/>
        <w:jc w:val="both"/>
        <w:rPr>
          <w:rFonts w:eastAsia="Calibri"/>
          <w:color w:val="000000"/>
          <w:sz w:val="24"/>
          <w:szCs w:val="24"/>
          <w:lang w:eastAsia="en-US"/>
        </w:rPr>
      </w:pPr>
      <w:r>
        <w:rPr>
          <w:rFonts w:eastAsia="Calibri"/>
          <w:color w:val="000000"/>
          <w:sz w:val="24"/>
          <w:szCs w:val="24"/>
          <w:lang w:eastAsia="en-US"/>
        </w:rPr>
        <w:t>3.2.2. Содержание административной процедуры.</w:t>
      </w:r>
    </w:p>
    <w:p>
      <w:pPr>
        <w:pStyle w:val="Normal"/>
        <w:ind w:firstLine="567"/>
        <w:jc w:val="both"/>
        <w:rPr>
          <w:color w:val="000000"/>
        </w:rPr>
      </w:pPr>
      <w:r>
        <w:rPr>
          <w:rFonts w:eastAsia="Calibri"/>
          <w:color w:val="000000"/>
          <w:sz w:val="24"/>
          <w:szCs w:val="24"/>
          <w:lang w:eastAsia="en-US"/>
        </w:rPr>
        <w:t xml:space="preserve">Специалист ОКС осуществляет прием заявления и документов, регистрирует их. </w:t>
      </w:r>
    </w:p>
    <w:p>
      <w:pPr>
        <w:pStyle w:val="Normal"/>
        <w:ind w:firstLine="567"/>
        <w:jc w:val="both"/>
        <w:rPr>
          <w:color w:val="000000"/>
        </w:rPr>
      </w:pPr>
      <w:r>
        <w:rPr>
          <w:rFonts w:eastAsia="Calibri"/>
          <w:color w:val="000000"/>
          <w:sz w:val="24"/>
          <w:szCs w:val="24"/>
          <w:lang w:eastAsia="en-US"/>
        </w:rPr>
        <w:t xml:space="preserve">При получении письменного заявления, содержащего нецензурные либо оскорбительные выражения, угрозы в адрес муниципальной служащих, а также членов их семей, ОКС вправе оставить заявление без ответа по существу поставленных в нем вопросов и сообщить заявителю, направившему заявление, о недопустимости использования ненормативной лексики. </w:t>
      </w:r>
    </w:p>
    <w:p>
      <w:pPr>
        <w:pStyle w:val="Normal"/>
        <w:ind w:firstLine="567"/>
        <w:jc w:val="both"/>
        <w:rPr>
          <w:color w:val="000000"/>
        </w:rPr>
      </w:pPr>
      <w:r>
        <w:rPr>
          <w:rFonts w:eastAsia="Calibri"/>
          <w:color w:val="000000"/>
          <w:sz w:val="24"/>
          <w:szCs w:val="24"/>
          <w:lang w:eastAsia="en-US"/>
        </w:rPr>
        <w:t>В случае если текст письменного заявления не поддается прочтению, оно остается без рассмотрения, о чем в течение семи дней со дня регистрации заявления сообщается заявителю, направившему заявление, если его фамилия и почтовый адрес поддаются прочтению.</w:t>
      </w:r>
    </w:p>
    <w:p>
      <w:pPr>
        <w:pStyle w:val="Normal"/>
        <w:ind w:firstLine="567"/>
        <w:jc w:val="both"/>
        <w:rPr>
          <w:color w:val="000000"/>
        </w:rPr>
      </w:pPr>
      <w:r>
        <w:rPr>
          <w:rFonts w:eastAsia="Calibri"/>
          <w:color w:val="000000"/>
          <w:sz w:val="24"/>
          <w:szCs w:val="24"/>
          <w:lang w:eastAsia="en-US"/>
        </w:rPr>
        <w:t>3.2.3. Срок выполнения административной процедуры в случае личного обращения в ОКС - 15 минут. В других случаях срок регистрации заявления – в течение 1 дня с момента получения заявления ОКС.</w:t>
      </w:r>
    </w:p>
    <w:p>
      <w:pPr>
        <w:pStyle w:val="Normal"/>
        <w:ind w:firstLine="567"/>
        <w:jc w:val="both"/>
        <w:rPr>
          <w:color w:val="000000"/>
        </w:rPr>
      </w:pPr>
      <w:r>
        <w:rPr>
          <w:rFonts w:eastAsia="Calibri"/>
          <w:color w:val="000000"/>
          <w:sz w:val="24"/>
          <w:szCs w:val="24"/>
          <w:lang w:eastAsia="en-US"/>
        </w:rPr>
        <w:t>3.2.4.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3.2.5. Результатом выполнения административной процедуры является регистрация заявления в журнале регистрации заявлений ОКС.</w:t>
      </w:r>
    </w:p>
    <w:p>
      <w:pPr>
        <w:pStyle w:val="Normal"/>
        <w:ind w:firstLine="567"/>
        <w:jc w:val="both"/>
        <w:rPr>
          <w:color w:val="000000"/>
        </w:rPr>
      </w:pPr>
      <w:r>
        <w:rPr>
          <w:rFonts w:eastAsia="Calibri"/>
          <w:color w:val="000000"/>
          <w:sz w:val="24"/>
          <w:szCs w:val="24"/>
          <w:lang w:eastAsia="en-US"/>
        </w:rPr>
        <w:t>3.2.6. Способ фиксации результата административной процедуры - регистрация заявления в журнале регистрации ОКС.</w:t>
      </w:r>
    </w:p>
    <w:p>
      <w:pPr>
        <w:pStyle w:val="Normal"/>
        <w:ind w:firstLine="567"/>
        <w:jc w:val="both"/>
        <w:rPr>
          <w:color w:val="000000"/>
        </w:rPr>
      </w:pPr>
      <w:r>
        <w:rPr>
          <w:rFonts w:eastAsia="Calibri"/>
          <w:color w:val="000000"/>
          <w:sz w:val="24"/>
          <w:szCs w:val="24"/>
          <w:lang w:eastAsia="en-US"/>
        </w:rPr>
        <w:t>3.3. Формирование и направление межведомственных запросов, получение документов по каналам межведомственного взаимодействия</w:t>
      </w:r>
    </w:p>
    <w:p>
      <w:pPr>
        <w:pStyle w:val="Normal"/>
        <w:ind w:firstLine="567"/>
        <w:jc w:val="both"/>
        <w:rPr>
          <w:color w:val="000000"/>
        </w:rPr>
      </w:pPr>
      <w:r>
        <w:rPr>
          <w:rFonts w:eastAsia="Calibri"/>
          <w:color w:val="000000"/>
          <w:sz w:val="24"/>
          <w:szCs w:val="24"/>
          <w:lang w:eastAsia="en-US"/>
        </w:rPr>
        <w:t>3.3.1. Основанием для начала административной процедуры является поступление специалисту ОКС заявления с пакетом документов.</w:t>
      </w:r>
    </w:p>
    <w:p>
      <w:pPr>
        <w:pStyle w:val="Normal"/>
        <w:ind w:firstLine="567"/>
        <w:jc w:val="both"/>
        <w:rPr>
          <w:rFonts w:eastAsia="Calibri"/>
          <w:color w:val="000000"/>
          <w:sz w:val="24"/>
          <w:szCs w:val="24"/>
          <w:lang w:eastAsia="en-US"/>
        </w:rPr>
      </w:pPr>
      <w:r>
        <w:rPr>
          <w:rFonts w:eastAsia="Calibri"/>
          <w:color w:val="000000"/>
          <w:sz w:val="24"/>
          <w:szCs w:val="24"/>
          <w:lang w:eastAsia="en-US"/>
        </w:rPr>
        <w:t>3.3.2. Содержание административной процедуры.</w:t>
      </w:r>
    </w:p>
    <w:p>
      <w:pPr>
        <w:pStyle w:val="Normal"/>
        <w:ind w:firstLine="567"/>
        <w:jc w:val="both"/>
        <w:rPr>
          <w:color w:val="000000"/>
        </w:rPr>
      </w:pPr>
      <w:r>
        <w:rPr>
          <w:rFonts w:eastAsia="Calibri"/>
          <w:color w:val="000000"/>
          <w:sz w:val="24"/>
          <w:szCs w:val="24"/>
          <w:lang w:eastAsia="en-US"/>
        </w:rPr>
        <w:t xml:space="preserve">Специалист ОКС проверяет представленный пакет документов и в случае отсутствия документов, определенных подпунктом 2.6.3. настоящего регламента, в течение двух рабочих дней, следующих за днем регистрации заявления, осуществляет подготовку межведомственных запросов о предоставлении необходимых сведений в уполномоченные органы: государственные органы, органы местного самоуправления и иные органы, участвующие в предоставлении муниципальных услуг. </w:t>
      </w:r>
    </w:p>
    <w:p>
      <w:pPr>
        <w:pStyle w:val="Normal"/>
        <w:ind w:firstLine="567"/>
        <w:jc w:val="both"/>
        <w:rPr>
          <w:rFonts w:eastAsia="Calibri"/>
          <w:color w:val="000000"/>
          <w:sz w:val="24"/>
          <w:szCs w:val="24"/>
          <w:lang w:eastAsia="en-US"/>
        </w:rPr>
      </w:pPr>
      <w:r>
        <w:rPr>
          <w:rFonts w:eastAsia="Calibri"/>
          <w:color w:val="000000"/>
          <w:sz w:val="24"/>
          <w:szCs w:val="24"/>
          <w:lang w:eastAsia="en-US"/>
        </w:rPr>
        <w:t>Специалист контролирует получение сведений в соответствии с направленными запросами.</w:t>
      </w:r>
    </w:p>
    <w:p>
      <w:pPr>
        <w:pStyle w:val="Normal"/>
        <w:ind w:firstLine="567"/>
        <w:jc w:val="both"/>
        <w:rPr>
          <w:color w:val="000000"/>
        </w:rPr>
      </w:pPr>
      <w:r>
        <w:rPr>
          <w:rFonts w:eastAsia="Calibri"/>
          <w:color w:val="000000"/>
          <w:sz w:val="24"/>
          <w:szCs w:val="24"/>
          <w:lang w:eastAsia="en-US"/>
        </w:rPr>
        <w:t>3.3.3. Срок исполнения административной процедуры 3 дня с момента регистрации заявления.</w:t>
      </w:r>
    </w:p>
    <w:p>
      <w:pPr>
        <w:pStyle w:val="Normal"/>
        <w:ind w:firstLine="567"/>
        <w:jc w:val="both"/>
        <w:rPr>
          <w:color w:val="000000"/>
        </w:rPr>
      </w:pPr>
      <w:r>
        <w:rPr>
          <w:rFonts w:eastAsia="Calibri"/>
          <w:color w:val="000000"/>
          <w:sz w:val="24"/>
          <w:szCs w:val="24"/>
          <w:lang w:eastAsia="en-US"/>
        </w:rPr>
        <w:t>3.3.4.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3.3.5. Результатом выполнения административной процедуры является получение от уполномоченных органов по системе межведомственного взаимодействия запрашиваемых документов, необходимых для оказания муниципальной услуги.</w:t>
      </w:r>
    </w:p>
    <w:p>
      <w:pPr>
        <w:pStyle w:val="Normal"/>
        <w:ind w:firstLine="567"/>
        <w:jc w:val="both"/>
        <w:rPr>
          <w:color w:val="000000"/>
        </w:rPr>
      </w:pPr>
      <w:r>
        <w:rPr>
          <w:rFonts w:eastAsia="Calibri"/>
          <w:color w:val="000000"/>
          <w:sz w:val="24"/>
          <w:szCs w:val="24"/>
          <w:lang w:eastAsia="en-US"/>
        </w:rPr>
        <w:t>3.3.5. Способ фиксации результата административной процедуры по формированию и направлению в уполномоченные органы по системе межведомственного электронного взаимодействия межведомственных запросов о предоставлении соответствующих сведений - регистрация в ОКС от уполномоченных органов по системе межведомственного взаимодействия соответствующих сведений.</w:t>
      </w:r>
    </w:p>
    <w:p>
      <w:pPr>
        <w:pStyle w:val="ConsPlusNormal"/>
        <w:numPr>
          <w:ilvl w:val="0"/>
          <w:numId w:val="0"/>
        </w:numPr>
        <w:ind w:firstLine="567"/>
        <w:jc w:val="both"/>
        <w:outlineLvl w:val="0"/>
        <w:rPr>
          <w:rFonts w:ascii="Times New Roman" w:hAnsi="Times New Roman"/>
          <w:color w:val="000000"/>
        </w:rPr>
      </w:pPr>
      <w:r>
        <w:rPr>
          <w:rFonts w:eastAsia="Calibri" w:cs="Times New Roman" w:ascii="Times New Roman" w:hAnsi="Times New Roman"/>
          <w:color w:val="000000"/>
          <w:sz w:val="24"/>
          <w:szCs w:val="24"/>
          <w:lang w:eastAsia="en-US"/>
        </w:rPr>
        <w:t>3.4. Осмотр объекта капитального строительства, подлежащего вводу в эксплуатацию</w:t>
      </w:r>
    </w:p>
    <w:p>
      <w:pPr>
        <w:pStyle w:val="Normal"/>
        <w:ind w:firstLine="567"/>
        <w:jc w:val="both"/>
        <w:rPr>
          <w:color w:val="000000"/>
        </w:rPr>
      </w:pPr>
      <w:r>
        <w:rPr>
          <w:rFonts w:eastAsia="Calibri"/>
          <w:color w:val="000000"/>
          <w:sz w:val="24"/>
          <w:szCs w:val="24"/>
          <w:lang w:eastAsia="en-US"/>
        </w:rPr>
        <w:t>3.4.1. Основанием для начала административной процедуры является регистрация специалистом ОКС заявления с пакетом документов.</w:t>
      </w:r>
    </w:p>
    <w:p>
      <w:pPr>
        <w:pStyle w:val="Normal"/>
        <w:ind w:firstLine="567"/>
        <w:jc w:val="both"/>
        <w:rPr>
          <w:rFonts w:eastAsia="Calibri"/>
          <w:color w:val="000000"/>
          <w:sz w:val="24"/>
          <w:szCs w:val="24"/>
          <w:lang w:eastAsia="en-US"/>
        </w:rPr>
      </w:pPr>
      <w:r>
        <w:rPr>
          <w:rFonts w:eastAsia="Calibri"/>
          <w:color w:val="000000"/>
          <w:sz w:val="24"/>
          <w:szCs w:val="24"/>
          <w:lang w:eastAsia="en-US"/>
        </w:rPr>
        <w:t>3.4.2. Содержание административного действия</w:t>
      </w:r>
    </w:p>
    <w:p>
      <w:pPr>
        <w:pStyle w:val="Normal"/>
        <w:ind w:firstLine="567"/>
        <w:jc w:val="both"/>
        <w:rPr>
          <w:color w:val="000000"/>
        </w:rPr>
      </w:pPr>
      <w:r>
        <w:rPr>
          <w:rFonts w:eastAsia="Calibri"/>
          <w:color w:val="000000"/>
          <w:sz w:val="24"/>
          <w:szCs w:val="24"/>
          <w:lang w:eastAsia="en-US"/>
        </w:rPr>
        <w:t xml:space="preserve">Специалисты ОКС по поручению заведующего ОКС осуществляют осмотр объекта капитального строительства. </w:t>
      </w:r>
    </w:p>
    <w:p>
      <w:pPr>
        <w:pStyle w:val="Normal"/>
        <w:ind w:firstLine="567"/>
        <w:jc w:val="both"/>
        <w:rPr>
          <w:rFonts w:eastAsia="Calibri"/>
          <w:color w:val="000000"/>
          <w:sz w:val="24"/>
          <w:szCs w:val="24"/>
          <w:lang w:eastAsia="en-US"/>
        </w:rPr>
      </w:pPr>
      <w:r>
        <w:rPr>
          <w:rFonts w:eastAsia="Calibri"/>
          <w:color w:val="000000"/>
          <w:sz w:val="24"/>
          <w:szCs w:val="24"/>
          <w:lang w:eastAsia="en-US"/>
        </w:rPr>
        <w:t>В ходе осмотра построенного, реконструированного объекта капитального строительства осуществляется проверка соответствия такого объекта требованиям, указанным в разрешении на строительство, требованиям к строительству, реконструкции объекта капитального строительства, установленным на дату выдачи представленного для получения разрешения на строительство градостроительного плана земельного участка, или в случае строительства, реконструкции линейного объекта требованиям проекта планировки территории и проекта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требованиям, установленным проектом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 а также разрешенному использованию земельного участка, ограничениям, установленным в соответствии с земельным и иным законодательством Российской Федерации, требованиям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pPr>
        <w:pStyle w:val="Normal"/>
        <w:ind w:firstLine="567"/>
        <w:jc w:val="both"/>
        <w:rPr>
          <w:rFonts w:eastAsia="Calibri"/>
          <w:color w:val="000000"/>
          <w:sz w:val="24"/>
          <w:szCs w:val="24"/>
          <w:lang w:eastAsia="en-US"/>
        </w:rPr>
      </w:pPr>
      <w:r>
        <w:rPr>
          <w:rFonts w:eastAsia="Calibri"/>
          <w:color w:val="000000"/>
          <w:sz w:val="24"/>
          <w:szCs w:val="24"/>
          <w:lang w:eastAsia="en-US"/>
        </w:rPr>
        <w:t>В случае если при строительстве, реконструкции объекта капитального строительства осуществляется государственный строительный надзор, осмотр такого объекта органом, выдавшим разрешение на строительство, не проводится.</w:t>
      </w:r>
    </w:p>
    <w:p>
      <w:pPr>
        <w:pStyle w:val="Normal"/>
        <w:ind w:firstLine="567"/>
        <w:jc w:val="both"/>
        <w:rPr>
          <w:color w:val="000000"/>
        </w:rPr>
      </w:pPr>
      <w:r>
        <w:rPr>
          <w:rFonts w:eastAsia="Calibri"/>
          <w:color w:val="000000"/>
          <w:sz w:val="24"/>
          <w:szCs w:val="24"/>
          <w:lang w:eastAsia="en-US"/>
        </w:rPr>
        <w:t>3.4.3. Срок выполнения административной процедуры в течение 5 дней с момента регистрации заявления.</w:t>
      </w:r>
    </w:p>
    <w:p>
      <w:pPr>
        <w:pStyle w:val="Normal"/>
        <w:ind w:firstLine="567"/>
        <w:jc w:val="both"/>
        <w:rPr>
          <w:rFonts w:eastAsia="Calibri"/>
          <w:color w:val="000000"/>
          <w:sz w:val="24"/>
          <w:szCs w:val="24"/>
          <w:lang w:eastAsia="en-US"/>
        </w:rPr>
      </w:pPr>
      <w:r>
        <w:rPr>
          <w:rFonts w:eastAsia="Calibri"/>
          <w:color w:val="000000"/>
          <w:sz w:val="24"/>
          <w:szCs w:val="24"/>
          <w:lang w:eastAsia="en-US"/>
        </w:rPr>
        <w:t>3.4.4.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3.4.5.</w:t>
        <w:tab/>
        <w:t>Результатом выполнения административной процедуры является принятие сотрудником ОКС решения о возможности подготовки разрешения на ввод объекта в эксплуатацию или подготовке письменного отказа в предоставлении муниципальной услуги.</w:t>
      </w:r>
    </w:p>
    <w:p>
      <w:pPr>
        <w:pStyle w:val="Normal"/>
        <w:ind w:firstLine="567"/>
        <w:jc w:val="both"/>
        <w:rPr>
          <w:color w:val="000000"/>
        </w:rPr>
      </w:pPr>
      <w:r>
        <w:rPr>
          <w:rFonts w:eastAsia="Calibri"/>
          <w:color w:val="000000"/>
          <w:sz w:val="24"/>
          <w:szCs w:val="24"/>
          <w:lang w:eastAsia="en-US"/>
        </w:rPr>
        <w:t>3.4.6. Способ фиксации результата административной процедуры отсутствует.</w:t>
      </w:r>
    </w:p>
    <w:p>
      <w:pPr>
        <w:pStyle w:val="Normal"/>
        <w:numPr>
          <w:ilvl w:val="0"/>
          <w:numId w:val="0"/>
        </w:numPr>
        <w:ind w:firstLine="567"/>
        <w:jc w:val="both"/>
        <w:outlineLvl w:val="0"/>
        <w:rPr>
          <w:color w:val="000000"/>
        </w:rPr>
      </w:pPr>
      <w:r>
        <w:rPr>
          <w:rFonts w:eastAsia="Calibri"/>
          <w:color w:val="000000"/>
          <w:sz w:val="24"/>
          <w:szCs w:val="24"/>
          <w:lang w:eastAsia="en-US"/>
        </w:rPr>
        <w:t>3.5. Подготовка разрешения на ввод объекта в эксплуатацию или письменного отказа в предоставлении муниципальной услуги</w:t>
      </w:r>
    </w:p>
    <w:p>
      <w:pPr>
        <w:pStyle w:val="Normal"/>
        <w:ind w:firstLine="567"/>
        <w:jc w:val="both"/>
        <w:rPr>
          <w:color w:val="000000"/>
        </w:rPr>
      </w:pPr>
      <w:r>
        <w:rPr>
          <w:rFonts w:eastAsia="Calibri"/>
          <w:color w:val="000000"/>
          <w:sz w:val="24"/>
          <w:szCs w:val="24"/>
          <w:lang w:eastAsia="en-US"/>
        </w:rPr>
        <w:t>3.5.1. Основанием для начала административной процедуры является принятие сотрудником ОКС решения о возможности подготовки разрешения на ввод объекта в эксплуатацию или подготовке письменного отказа в предоставлении муниципальной услуги.</w:t>
      </w:r>
    </w:p>
    <w:p>
      <w:pPr>
        <w:pStyle w:val="Normal"/>
        <w:ind w:firstLine="567"/>
        <w:jc w:val="both"/>
        <w:rPr>
          <w:color w:val="000000"/>
        </w:rPr>
      </w:pPr>
      <w:r>
        <w:rPr>
          <w:color w:val="000000"/>
          <w:sz w:val="24"/>
          <w:szCs w:val="24"/>
          <w:lang w:eastAsia="en-US"/>
        </w:rPr>
        <w:t xml:space="preserve"> </w:t>
      </w:r>
      <w:r>
        <w:rPr>
          <w:rFonts w:eastAsia="Calibri"/>
          <w:color w:val="000000"/>
          <w:sz w:val="24"/>
          <w:szCs w:val="24"/>
          <w:lang w:eastAsia="en-US"/>
        </w:rPr>
        <w:t>3.5.2. Содержание административной процедуры.</w:t>
      </w:r>
    </w:p>
    <w:p>
      <w:pPr>
        <w:pStyle w:val="Normal"/>
        <w:ind w:firstLine="567"/>
        <w:jc w:val="both"/>
        <w:rPr>
          <w:color w:val="000000"/>
        </w:rPr>
      </w:pPr>
      <w:r>
        <w:rPr>
          <w:rFonts w:eastAsia="Calibri"/>
          <w:color w:val="000000"/>
          <w:sz w:val="24"/>
          <w:szCs w:val="24"/>
          <w:lang w:eastAsia="en-US"/>
        </w:rPr>
        <w:t>Специалист, ответственный за предоставление муниципальной услуги, проводит анализ представленных документов и готовит проект разрешения на ввод объекта в эксплуатацию и передает его на согласование заведующему ОКС.</w:t>
      </w:r>
    </w:p>
    <w:p>
      <w:pPr>
        <w:pStyle w:val="Normal"/>
        <w:ind w:firstLine="567"/>
        <w:jc w:val="both"/>
        <w:rPr>
          <w:rFonts w:eastAsia="Calibri"/>
          <w:color w:val="000000"/>
          <w:sz w:val="24"/>
          <w:szCs w:val="24"/>
          <w:lang w:eastAsia="en-US"/>
        </w:rPr>
      </w:pPr>
      <w:r>
        <w:rPr>
          <w:rFonts w:eastAsia="Calibri"/>
          <w:color w:val="000000"/>
          <w:sz w:val="24"/>
          <w:szCs w:val="24"/>
          <w:lang w:eastAsia="en-US"/>
        </w:rPr>
        <w:t>Заведующий ОКС согласовывает проект разрешения на ввод объекта в эксплуатацию.</w:t>
      </w:r>
    </w:p>
    <w:p>
      <w:pPr>
        <w:pStyle w:val="Normal"/>
        <w:ind w:firstLine="567"/>
        <w:jc w:val="both"/>
        <w:rPr>
          <w:color w:val="000000"/>
        </w:rPr>
      </w:pPr>
      <w:r>
        <w:rPr>
          <w:rFonts w:eastAsia="Calibri"/>
          <w:color w:val="000000"/>
          <w:sz w:val="24"/>
          <w:szCs w:val="24"/>
          <w:lang w:eastAsia="en-US"/>
        </w:rPr>
        <w:t xml:space="preserve">При наличии замечаний по проекту разрешения на ввод объекта в эксплуатацию заведующий ОКС возвращает документы специалисту для устранения имеющихся замечаний. </w:t>
      </w:r>
    </w:p>
    <w:p>
      <w:pPr>
        <w:pStyle w:val="Normal"/>
        <w:ind w:firstLine="567"/>
        <w:jc w:val="both"/>
        <w:rPr>
          <w:rFonts w:eastAsia="Calibri"/>
          <w:color w:val="000000"/>
          <w:sz w:val="24"/>
          <w:szCs w:val="24"/>
          <w:lang w:eastAsia="en-US"/>
        </w:rPr>
      </w:pPr>
      <w:r>
        <w:rPr>
          <w:rFonts w:eastAsia="Calibri"/>
          <w:color w:val="000000"/>
          <w:sz w:val="24"/>
          <w:szCs w:val="24"/>
          <w:lang w:eastAsia="en-US"/>
        </w:rPr>
        <w:t>Подготовленный проект разрешения на ввод объекта в эксплуатацию направляется в соответствующие структурные подразделения Администрации Шарангского муниципального района для согласования. Проект разрешения на ввод объекта в эксплуатацию, в полном объеме прошедший процедуру согласования, направляется главе администрации Шарангского муниципального района для подписания.</w:t>
      </w:r>
    </w:p>
    <w:p>
      <w:pPr>
        <w:pStyle w:val="Normal"/>
        <w:ind w:firstLine="567"/>
        <w:jc w:val="both"/>
        <w:rPr>
          <w:color w:val="000000"/>
        </w:rPr>
      </w:pPr>
      <w:r>
        <w:rPr>
          <w:rFonts w:eastAsia="Calibri"/>
          <w:color w:val="000000"/>
          <w:sz w:val="24"/>
          <w:szCs w:val="24"/>
          <w:lang w:eastAsia="en-US"/>
        </w:rPr>
        <w:t>В случае если имеются основания для отказа в предоставлении муниципальной услуги, предусмотренные пунктом 2.7. настоящего регламента, специалистом ОКС готовится письменный отказ, который передается для рассмотрения заведующему ОКС.</w:t>
      </w:r>
    </w:p>
    <w:p>
      <w:pPr>
        <w:pStyle w:val="Normal"/>
        <w:ind w:firstLine="567"/>
        <w:jc w:val="both"/>
        <w:rPr>
          <w:rFonts w:eastAsia="Calibri"/>
          <w:color w:val="000000"/>
          <w:sz w:val="24"/>
          <w:szCs w:val="24"/>
          <w:lang w:eastAsia="en-US"/>
        </w:rPr>
      </w:pPr>
      <w:r>
        <w:rPr>
          <w:rFonts w:eastAsia="Calibri"/>
          <w:color w:val="000000"/>
          <w:sz w:val="24"/>
          <w:szCs w:val="24"/>
          <w:lang w:eastAsia="en-US"/>
        </w:rPr>
        <w:t>Заведующий ОКС рассматривает проект письменного отказа в предоставлении муниципальной услуги и скомплектованный пакет документов, подписывает его.</w:t>
      </w:r>
    </w:p>
    <w:p>
      <w:pPr>
        <w:pStyle w:val="Normal"/>
        <w:ind w:firstLine="567"/>
        <w:jc w:val="both"/>
        <w:rPr>
          <w:color w:val="000000"/>
        </w:rPr>
      </w:pPr>
      <w:r>
        <w:rPr>
          <w:rFonts w:eastAsia="Calibri"/>
          <w:color w:val="000000"/>
          <w:sz w:val="24"/>
          <w:szCs w:val="24"/>
          <w:lang w:eastAsia="en-US"/>
        </w:rPr>
        <w:t>3.5.3. Срок выполнения административной процедуры в течение 2 рабочих дней с момента указанного в п. 3.5.1.</w:t>
      </w:r>
    </w:p>
    <w:p>
      <w:pPr>
        <w:pStyle w:val="Normal"/>
        <w:ind w:firstLine="567"/>
        <w:jc w:val="both"/>
        <w:rPr>
          <w:color w:val="000000"/>
        </w:rPr>
      </w:pPr>
      <w:r>
        <w:rPr>
          <w:rFonts w:eastAsia="Calibri"/>
          <w:color w:val="000000"/>
          <w:sz w:val="24"/>
          <w:szCs w:val="24"/>
          <w:lang w:eastAsia="en-US"/>
        </w:rPr>
        <w:t>3.5.4.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3.5.5. Результатом административной процедуры является разрешение на ввод объекта в эксплуатацию или письменный отказ в предоставлении муниципальной услуги.</w:t>
      </w:r>
    </w:p>
    <w:p>
      <w:pPr>
        <w:pStyle w:val="Normal"/>
        <w:ind w:firstLine="567"/>
        <w:jc w:val="both"/>
        <w:rPr>
          <w:color w:val="000000"/>
        </w:rPr>
      </w:pPr>
      <w:r>
        <w:rPr>
          <w:rFonts w:eastAsia="Calibri"/>
          <w:color w:val="000000"/>
          <w:sz w:val="24"/>
          <w:szCs w:val="24"/>
          <w:lang w:eastAsia="en-US"/>
        </w:rPr>
        <w:t>3.5.6. Способ фиксации результата административной процедуры отсутствует.</w:t>
      </w:r>
    </w:p>
    <w:p>
      <w:pPr>
        <w:pStyle w:val="Normal"/>
        <w:numPr>
          <w:ilvl w:val="0"/>
          <w:numId w:val="0"/>
        </w:numPr>
        <w:ind w:firstLine="567"/>
        <w:jc w:val="both"/>
        <w:outlineLvl w:val="0"/>
        <w:rPr>
          <w:color w:val="000000"/>
        </w:rPr>
      </w:pPr>
      <w:r>
        <w:rPr>
          <w:rFonts w:eastAsia="Calibri"/>
          <w:color w:val="000000"/>
          <w:sz w:val="24"/>
          <w:szCs w:val="24"/>
          <w:lang w:eastAsia="en-US"/>
        </w:rPr>
        <w:t>3.6. Передача результата предоставления муниципальной услуги заявителю.</w:t>
      </w:r>
    </w:p>
    <w:p>
      <w:pPr>
        <w:pStyle w:val="Normal"/>
        <w:ind w:firstLine="567"/>
        <w:jc w:val="both"/>
        <w:rPr>
          <w:color w:val="000000"/>
        </w:rPr>
      </w:pPr>
      <w:r>
        <w:rPr>
          <w:rFonts w:eastAsia="Calibri"/>
          <w:color w:val="000000"/>
          <w:sz w:val="24"/>
          <w:szCs w:val="24"/>
          <w:lang w:eastAsia="en-US"/>
        </w:rPr>
        <w:t>3.6.1. Основанием для начала административной процедуры является разрешение на ввод объекта в эксплуатацию или письменный отказ в предоставлении муниципальной услуги.</w:t>
      </w:r>
    </w:p>
    <w:p>
      <w:pPr>
        <w:pStyle w:val="Normal"/>
        <w:ind w:firstLine="567"/>
        <w:jc w:val="both"/>
        <w:rPr>
          <w:color w:val="000000"/>
        </w:rPr>
      </w:pPr>
      <w:r>
        <w:rPr>
          <w:rFonts w:eastAsia="Calibri"/>
          <w:color w:val="000000"/>
          <w:sz w:val="24"/>
          <w:szCs w:val="24"/>
          <w:lang w:eastAsia="en-US"/>
        </w:rPr>
        <w:t>3.6.2. Содержание административного действия.</w:t>
      </w:r>
    </w:p>
    <w:p>
      <w:pPr>
        <w:pStyle w:val="Normal"/>
        <w:ind w:firstLine="567"/>
        <w:jc w:val="both"/>
        <w:rPr>
          <w:color w:val="000000"/>
        </w:rPr>
      </w:pPr>
      <w:r>
        <w:rPr>
          <w:rFonts w:eastAsia="Calibri"/>
          <w:color w:val="000000"/>
          <w:sz w:val="24"/>
          <w:szCs w:val="24"/>
          <w:lang w:eastAsia="en-US"/>
        </w:rPr>
        <w:t>При непосредственном обращении заявителя ОКС специалист ОКС выдает разрешение на ввод объекта в эксплуатацию в двух экземплярах либо отказ в предоставлении муниципальной услуги либо направляет их заявителю почтовым отправлением. Один экземпляр документа, указанного в п. 3.7.2 настоящего регламента, остается в архиве ОКС.</w:t>
      </w:r>
    </w:p>
    <w:p>
      <w:pPr>
        <w:pStyle w:val="Normal"/>
        <w:ind w:firstLine="567"/>
        <w:jc w:val="both"/>
        <w:rPr>
          <w:color w:val="000000"/>
        </w:rPr>
      </w:pPr>
      <w:r>
        <w:rPr>
          <w:rFonts w:eastAsia="Calibri"/>
          <w:color w:val="000000"/>
          <w:sz w:val="24"/>
          <w:szCs w:val="24"/>
          <w:lang w:eastAsia="en-US"/>
        </w:rPr>
        <w:t>3.6.3. Срок исполнения административной процедуры - 1 день с момента подписания разрешения на ввод объекта в эксплуатацию</w:t>
      </w:r>
    </w:p>
    <w:p>
      <w:pPr>
        <w:pStyle w:val="Normal"/>
        <w:ind w:firstLine="567"/>
        <w:jc w:val="both"/>
        <w:rPr>
          <w:color w:val="000000"/>
        </w:rPr>
      </w:pPr>
      <w:r>
        <w:rPr>
          <w:rFonts w:eastAsia="Calibri"/>
          <w:color w:val="000000"/>
          <w:sz w:val="24"/>
          <w:szCs w:val="24"/>
          <w:lang w:eastAsia="en-US"/>
        </w:rPr>
        <w:t>3.6.4.</w:t>
        <w:tab/>
        <w:t>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3.6.5.</w:t>
        <w:tab/>
        <w:t>Способ фиксации результата административной процедуры – роспись заявителя в журнале регистрации ОКС либо отметка о направлении заявителю результата предоставления муниципальной услуги.</w:t>
      </w:r>
    </w:p>
    <w:p>
      <w:pPr>
        <w:pStyle w:val="Normal"/>
        <w:ind w:firstLine="567"/>
        <w:jc w:val="both"/>
        <w:rPr>
          <w:color w:val="000000"/>
        </w:rPr>
      </w:pPr>
      <w:r>
        <w:rPr>
          <w:rFonts w:eastAsia="Calibri"/>
          <w:color w:val="000000"/>
          <w:sz w:val="24"/>
          <w:szCs w:val="24"/>
          <w:lang w:eastAsia="en-US"/>
        </w:rPr>
        <w:t>3.7.</w:t>
        <w:tab/>
      </w:r>
      <w:bookmarkStart w:id="8" w:name="Par29"/>
      <w:bookmarkEnd w:id="8"/>
      <w:r>
        <w:rPr>
          <w:rFonts w:eastAsia="Calibri"/>
          <w:color w:val="000000"/>
          <w:sz w:val="24"/>
          <w:szCs w:val="24"/>
          <w:lang w:eastAsia="en-US"/>
        </w:rPr>
        <w:t>Подготовка и направление уведомлений о соответствии или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 включает следующие процедуры:</w:t>
      </w:r>
    </w:p>
    <w:p>
      <w:pPr>
        <w:pStyle w:val="Normal"/>
        <w:numPr>
          <w:ilvl w:val="0"/>
          <w:numId w:val="7"/>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прием и регистрация уведомления об окончании строительства или реконструкции объекта индивидуального жилищного строительства или садового дома (далее – уведомление об окончании строительства)</w:t>
      </w:r>
      <w:r>
        <w:rPr>
          <w:color w:val="000000"/>
          <w:sz w:val="24"/>
          <w:szCs w:val="24"/>
        </w:rPr>
        <w:t>;</w:t>
      </w:r>
    </w:p>
    <w:p>
      <w:pPr>
        <w:pStyle w:val="Normal"/>
        <w:numPr>
          <w:ilvl w:val="0"/>
          <w:numId w:val="7"/>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проверка соответствия построенного или реконструированного объекта индивидуального жилищного строительства или садового дома требованиям законодательства (в соответствии с ч.19 ст.55 Градостроительного кодекса);</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подготовка уведомления о соответствии или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выдача результата заявителю;</w:t>
      </w:r>
    </w:p>
    <w:p>
      <w:pPr>
        <w:pStyle w:val="Normal"/>
        <w:numPr>
          <w:ilvl w:val="0"/>
          <w:numId w:val="6"/>
        </w:numPr>
        <w:ind w:left="0" w:firstLine="567"/>
        <w:jc w:val="both"/>
        <w:rPr>
          <w:color w:val="000000"/>
        </w:rPr>
      </w:pPr>
      <w:r>
        <w:rPr>
          <w:color w:val="000000"/>
          <w:sz w:val="24"/>
          <w:szCs w:val="24"/>
          <w:lang w:eastAsia="en-US"/>
        </w:rPr>
        <w:t xml:space="preserve"> </w:t>
      </w:r>
      <w:r>
        <w:rPr>
          <w:rFonts w:eastAsia="Calibri"/>
          <w:color w:val="000000"/>
          <w:sz w:val="24"/>
          <w:szCs w:val="24"/>
          <w:lang w:eastAsia="en-US"/>
        </w:rPr>
        <w:t>направление копии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органы, предусмотренные ч.21 статьи 55 Градостроительного кодекса.</w:t>
      </w:r>
    </w:p>
    <w:p>
      <w:pPr>
        <w:pStyle w:val="Normal"/>
        <w:ind w:firstLine="567"/>
        <w:jc w:val="both"/>
        <w:rPr>
          <w:color w:val="000000"/>
        </w:rPr>
      </w:pPr>
      <w:r>
        <w:rPr>
          <w:rFonts w:eastAsia="Calibri"/>
          <w:color w:val="000000"/>
          <w:sz w:val="24"/>
          <w:szCs w:val="24"/>
          <w:lang w:eastAsia="en-US"/>
        </w:rPr>
        <w:t>3.7.1.</w:t>
        <w:tab/>
        <w:t xml:space="preserve">Прием и регистрация уведомления об окончании строительства </w:t>
      </w:r>
      <w:r>
        <w:rPr>
          <w:color w:val="000000"/>
          <w:sz w:val="24"/>
          <w:szCs w:val="24"/>
        </w:rPr>
        <w:t xml:space="preserve">посредством личного обращения </w:t>
      </w:r>
      <w:r>
        <w:rPr>
          <w:rFonts w:eastAsia="Calibri"/>
          <w:color w:val="000000"/>
          <w:sz w:val="24"/>
          <w:szCs w:val="24"/>
          <w:lang w:eastAsia="en-US"/>
        </w:rPr>
        <w:t xml:space="preserve">в ОКС, </w:t>
      </w:r>
      <w:r>
        <w:rPr>
          <w:color w:val="000000"/>
          <w:sz w:val="24"/>
          <w:szCs w:val="24"/>
        </w:rPr>
        <w:t>либо направленного посредством почтового отправления с прилагаемым пакетом документов.</w:t>
      </w:r>
    </w:p>
    <w:p>
      <w:pPr>
        <w:pStyle w:val="Normal"/>
        <w:ind w:firstLine="567"/>
        <w:jc w:val="both"/>
        <w:rPr>
          <w:color w:val="000000"/>
        </w:rPr>
      </w:pPr>
      <w:r>
        <w:rPr>
          <w:rFonts w:eastAsia="Calibri"/>
          <w:color w:val="000000"/>
          <w:sz w:val="24"/>
          <w:szCs w:val="24"/>
          <w:lang w:eastAsia="en-US"/>
        </w:rPr>
        <w:t xml:space="preserve">Основанием для начала административной процедуры является получение специалистом ОКС уведомления об окончании строительства и прилагаемых документов, указанных в 2.6.8 настоящего регламента </w:t>
      </w:r>
    </w:p>
    <w:p>
      <w:pPr>
        <w:pStyle w:val="Normal"/>
        <w:ind w:firstLine="567"/>
        <w:jc w:val="both"/>
        <w:rPr>
          <w:color w:val="000000"/>
        </w:rPr>
      </w:pPr>
      <w:r>
        <w:rPr>
          <w:rFonts w:eastAsia="Calibri"/>
          <w:color w:val="000000"/>
          <w:sz w:val="24"/>
          <w:szCs w:val="24"/>
          <w:lang w:eastAsia="en-US"/>
        </w:rPr>
        <w:t>Административная процедура осуществляется в соответствии с п.п.3.2.2 – 3.2.6. настоящего регламента.</w:t>
      </w:r>
    </w:p>
    <w:p>
      <w:pPr>
        <w:pStyle w:val="Normal"/>
        <w:ind w:firstLine="567"/>
        <w:jc w:val="both"/>
        <w:rPr>
          <w:color w:val="000000"/>
        </w:rPr>
      </w:pPr>
      <w:r>
        <w:rPr>
          <w:rFonts w:eastAsia="Calibri"/>
          <w:color w:val="000000"/>
          <w:sz w:val="24"/>
          <w:szCs w:val="24"/>
          <w:lang w:eastAsia="en-US"/>
        </w:rPr>
        <w:t>3.7.2.</w:t>
        <w:tab/>
        <w:t xml:space="preserve">Проверка соответствия построенного или реконструированного объекта индивидуального жилищного строительства или садового дома требованиям законодательства. </w:t>
      </w:r>
    </w:p>
    <w:p>
      <w:pPr>
        <w:pStyle w:val="Normal"/>
        <w:ind w:firstLine="567"/>
        <w:jc w:val="both"/>
        <w:rPr>
          <w:color w:val="000000"/>
        </w:rPr>
      </w:pPr>
      <w:r>
        <w:rPr>
          <w:rFonts w:eastAsia="Calibri"/>
          <w:color w:val="000000"/>
          <w:sz w:val="24"/>
          <w:szCs w:val="24"/>
          <w:lang w:eastAsia="en-US"/>
        </w:rPr>
        <w:t>3.7.2.1.</w:t>
        <w:tab/>
        <w:t>Основанием для начала административной процедуры является регистрация полученного уведомления об окончании строительства сотрудником ОКС, ответственным за прием и регистрацию заявлений.</w:t>
      </w:r>
    </w:p>
    <w:p>
      <w:pPr>
        <w:pStyle w:val="Normal"/>
        <w:ind w:firstLine="567"/>
        <w:jc w:val="both"/>
        <w:rPr>
          <w:color w:val="000000"/>
        </w:rPr>
      </w:pPr>
      <w:r>
        <w:rPr>
          <w:rFonts w:eastAsia="Calibri"/>
          <w:color w:val="000000"/>
          <w:sz w:val="24"/>
          <w:szCs w:val="24"/>
          <w:lang w:eastAsia="en-US"/>
        </w:rPr>
        <w:t>3.7.2.2.</w:t>
        <w:tab/>
        <w:t xml:space="preserve"> Содержание административной процедуры.</w:t>
      </w:r>
    </w:p>
    <w:p>
      <w:pPr>
        <w:pStyle w:val="Normal"/>
        <w:ind w:firstLine="567"/>
        <w:jc w:val="both"/>
        <w:rPr>
          <w:color w:val="000000"/>
        </w:rPr>
      </w:pPr>
      <w:r>
        <w:rPr>
          <w:rFonts w:eastAsia="Calibri"/>
          <w:color w:val="000000"/>
          <w:sz w:val="24"/>
          <w:szCs w:val="24"/>
          <w:lang w:eastAsia="en-US"/>
        </w:rPr>
        <w:t xml:space="preserve">Ответственное лицо ОКС осуществляет проверку соответствия построенного или реконструированного объекта индивидуального жилищного строительства или садового дома требованиям законодательства в соответствии с ч.19 ст. 55 Градостроительного кодекса. </w:t>
      </w:r>
    </w:p>
    <w:p>
      <w:pPr>
        <w:pStyle w:val="Normal"/>
        <w:ind w:firstLine="567"/>
        <w:jc w:val="both"/>
        <w:rPr>
          <w:color w:val="000000"/>
        </w:rPr>
      </w:pPr>
      <w:r>
        <w:rPr>
          <w:rFonts w:eastAsia="Calibri"/>
          <w:color w:val="000000"/>
          <w:sz w:val="24"/>
          <w:szCs w:val="24"/>
          <w:lang w:eastAsia="en-US"/>
        </w:rPr>
        <w:t>3.7.2.3.</w:t>
        <w:tab/>
        <w:t xml:space="preserve"> Срок исполнения административной процедуры – 5 дней с момента регистрации уведомления об окончании строительства. </w:t>
      </w:r>
    </w:p>
    <w:p>
      <w:pPr>
        <w:pStyle w:val="Normal"/>
        <w:ind w:firstLine="567"/>
        <w:jc w:val="both"/>
        <w:rPr>
          <w:rFonts w:eastAsia="Calibri"/>
          <w:color w:val="000000"/>
          <w:sz w:val="24"/>
          <w:szCs w:val="24"/>
          <w:lang w:eastAsia="en-US"/>
        </w:rPr>
      </w:pPr>
      <w:r>
        <w:rPr>
          <w:rFonts w:eastAsia="Calibri"/>
          <w:color w:val="000000"/>
          <w:sz w:val="24"/>
          <w:szCs w:val="24"/>
          <w:lang w:eastAsia="en-US"/>
        </w:rPr>
        <w:t>3.7.2.4.</w:t>
        <w:tab/>
        <w:t xml:space="preserve">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3.7.2.5. Результатом исполнения административной процедуры является принятие решения о подготовке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color w:val="000000"/>
          <w:sz w:val="24"/>
          <w:szCs w:val="24"/>
        </w:rPr>
        <w:t xml:space="preserve">3.7.2.6. </w:t>
      </w:r>
      <w:r>
        <w:rPr>
          <w:rFonts w:eastAsia="Calibri"/>
          <w:color w:val="000000"/>
          <w:sz w:val="24"/>
          <w:szCs w:val="24"/>
          <w:lang w:eastAsia="en-US"/>
        </w:rPr>
        <w:t>Способ фиксации результата административной процедуры отсутствует.</w:t>
      </w:r>
    </w:p>
    <w:p>
      <w:pPr>
        <w:pStyle w:val="Normal"/>
        <w:ind w:firstLine="567"/>
        <w:jc w:val="both"/>
        <w:rPr>
          <w:color w:val="000000"/>
        </w:rPr>
      </w:pPr>
      <w:r>
        <w:rPr>
          <w:rFonts w:eastAsia="Calibri"/>
          <w:color w:val="000000"/>
          <w:sz w:val="24"/>
          <w:szCs w:val="24"/>
          <w:lang w:eastAsia="en-US"/>
        </w:rPr>
        <w:t>3.7.3. Подготовка уведомления о соответствии или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3.7.3.1.</w:t>
        <w:tab/>
        <w:t xml:space="preserve"> Основанием для начала административной процедуры является принятие решения о подготовке уведомления о соответствии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3.7.3.2. Содержание административной процедуры.</w:t>
      </w:r>
    </w:p>
    <w:p>
      <w:pPr>
        <w:pStyle w:val="Normal"/>
        <w:ind w:firstLine="567"/>
        <w:jc w:val="both"/>
        <w:rPr>
          <w:color w:val="000000"/>
        </w:rPr>
      </w:pPr>
      <w:r>
        <w:rPr>
          <w:rFonts w:eastAsia="Calibri"/>
          <w:color w:val="000000"/>
          <w:sz w:val="24"/>
          <w:szCs w:val="24"/>
          <w:lang w:eastAsia="en-US"/>
        </w:rPr>
        <w:t xml:space="preserve">Ответственное лицо ОКС готовит уведомление о соответствии либо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по форме утвержденной </w:t>
      </w:r>
      <w:r>
        <w:rPr>
          <w:color w:val="000000"/>
          <w:sz w:val="24"/>
          <w:szCs w:val="24"/>
        </w:rPr>
        <w:t>Приказом Минстроя России от 19.09.2018 N 591/пр "Об утверждении форм уведомлений, необходимых для строительства или реконструкции объекта индивидуального жилищного строительства или садового дома"</w:t>
      </w:r>
      <w:r>
        <w:rPr>
          <w:rFonts w:eastAsia="Calibri"/>
          <w:color w:val="000000"/>
          <w:sz w:val="24"/>
          <w:szCs w:val="24"/>
          <w:lang w:eastAsia="en-US"/>
        </w:rPr>
        <w:t xml:space="preserve">. </w:t>
      </w:r>
    </w:p>
    <w:p>
      <w:pPr>
        <w:pStyle w:val="Normal"/>
        <w:ind w:firstLine="567"/>
        <w:jc w:val="both"/>
        <w:rPr>
          <w:color w:val="000000"/>
        </w:rPr>
      </w:pPr>
      <w:r>
        <w:rPr>
          <w:rFonts w:eastAsia="Calibri"/>
          <w:color w:val="000000"/>
          <w:sz w:val="24"/>
          <w:szCs w:val="24"/>
          <w:lang w:eastAsia="en-US"/>
        </w:rPr>
        <w:t>3.7.3.3.</w:t>
        <w:tab/>
        <w:t>Критериями для принятия решения о выдаче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являются следующие обстоятельства:</w:t>
      </w:r>
    </w:p>
    <w:p>
      <w:pPr>
        <w:pStyle w:val="Normal"/>
        <w:ind w:firstLine="567"/>
        <w:jc w:val="both"/>
        <w:rPr>
          <w:color w:val="000000"/>
          <w:sz w:val="24"/>
          <w:szCs w:val="24"/>
        </w:rPr>
      </w:pPr>
      <w:r>
        <w:rPr>
          <w:color w:val="000000"/>
          <w:sz w:val="24"/>
          <w:szCs w:val="24"/>
        </w:rPr>
        <w:t>1) параметры построенных или реконструированных объекта индивидуального жилищного строительства или садового дома не соответствуют предельным параметрам разрешенного строительства, реконструкции объектов капитального строительства, установленным правилами землепользования и застройки, документацией по планировке территории, или обязательным требованиям к параметрам объектов капитального строительства, установленным Градостроительным кодексом, другими федеральными законами;</w:t>
      </w:r>
    </w:p>
    <w:p>
      <w:pPr>
        <w:pStyle w:val="Normal"/>
        <w:ind w:firstLine="567"/>
        <w:jc w:val="both"/>
        <w:rPr>
          <w:color w:val="000000"/>
        </w:rPr>
      </w:pPr>
      <w:r>
        <w:rPr>
          <w:color w:val="000000"/>
          <w:sz w:val="24"/>
          <w:szCs w:val="24"/>
        </w:rPr>
        <w:t>2) внешний облик объекта индивидуального жилищного строительства или садового дома не соответствует описанию внешнего облика таких объекта или дома, являющемуся приложением к уведомлению о планируемом строительстве, или типовому архитектурному решению, указанному в уведомлении о планируемом строительстве, или застройщику было направлено уведомление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(или) недопустимости размещения объекта индивидуального жилищного строительства или садового дома на земельном участке по основанию, указанному в пункте 4 части 10 статьи 51.1 Градостроительного кодекса, в случае строительства или реконструкции объекта индивидуального жилищного строительства или садового дома в границах исторического поселения федерального или регионального значения;</w:t>
      </w:r>
    </w:p>
    <w:p>
      <w:pPr>
        <w:pStyle w:val="NoSpacing"/>
        <w:ind w:firstLine="567"/>
        <w:jc w:val="both"/>
        <w:rPr>
          <w:color w:val="000000"/>
          <w:sz w:val="24"/>
          <w:szCs w:val="24"/>
        </w:rPr>
      </w:pPr>
      <w:r>
        <w:rPr>
          <w:color w:val="000000"/>
          <w:sz w:val="24"/>
          <w:szCs w:val="24"/>
        </w:rPr>
        <w:t>3) вид разрешенного использования построенного или реконструированного объекта капитального строительства не соответствует виду разрешенного использования объекта индивидуального жилищного строительства или садового дома, указанному в уведомлении о планируемом строительстве;</w:t>
      </w:r>
    </w:p>
    <w:p>
      <w:pPr>
        <w:pStyle w:val="NoSpacing"/>
        <w:ind w:firstLine="567"/>
        <w:jc w:val="both"/>
        <w:rPr>
          <w:color w:val="000000"/>
          <w:sz w:val="24"/>
          <w:szCs w:val="24"/>
        </w:rPr>
      </w:pPr>
      <w:r>
        <w:rPr>
          <w:color w:val="000000"/>
          <w:sz w:val="24"/>
          <w:szCs w:val="24"/>
        </w:rPr>
        <w:t>4) размещение объекта индивидуального жилищного строительства или садового дома не допускается в соответствии с ограничениями, установленными в соответствии с земельным и иным законодательством Российской Федерации на дату поступления уведомления об окончании строительства, за исключением случаев, если указанные ограничения предусмотрены решением об установлении или изменении зоны с особыми условиями использования территории, принятым в отношении планируемого к строительству, реконструкции объекта капитального строительства, и такой объект капитального строительства не введен в эксплуатацию.</w:t>
      </w:r>
    </w:p>
    <w:p>
      <w:pPr>
        <w:pStyle w:val="Normal"/>
        <w:tabs>
          <w:tab w:val="left" w:pos="709" w:leader="none"/>
        </w:tabs>
        <w:ind w:firstLine="567"/>
        <w:jc w:val="both"/>
        <w:rPr>
          <w:color w:val="000000"/>
        </w:rPr>
      </w:pPr>
      <w:r>
        <w:rPr>
          <w:rFonts w:eastAsia="Calibri"/>
          <w:color w:val="000000"/>
          <w:sz w:val="24"/>
          <w:szCs w:val="24"/>
          <w:lang w:eastAsia="en-US"/>
        </w:rPr>
        <w:t>3.7.3.4.</w:t>
        <w:tab/>
        <w:t>Критериями для принятия решения о выдаче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является отсутствие оснований, указанных в п.2.7.3.3. настоящего регламента.</w:t>
      </w:r>
    </w:p>
    <w:p>
      <w:pPr>
        <w:pStyle w:val="Normal"/>
        <w:ind w:firstLine="567"/>
        <w:jc w:val="both"/>
        <w:rPr>
          <w:color w:val="000000"/>
        </w:rPr>
      </w:pPr>
      <w:r>
        <w:rPr>
          <w:rFonts w:eastAsia="Calibri"/>
          <w:color w:val="000000"/>
          <w:sz w:val="24"/>
          <w:szCs w:val="24"/>
          <w:lang w:eastAsia="en-US"/>
        </w:rPr>
        <w:t>3.7.3.5.</w:t>
        <w:tab/>
        <w:t xml:space="preserve"> Срок исполнения процедуры – 2 дня с момента, указанного в пп.3.7.3.1. настоящего регламента.</w:t>
      </w:r>
    </w:p>
    <w:p>
      <w:pPr>
        <w:pStyle w:val="Normal"/>
        <w:ind w:firstLine="567"/>
        <w:jc w:val="both"/>
        <w:rPr>
          <w:color w:val="000000"/>
        </w:rPr>
      </w:pPr>
      <w:r>
        <w:rPr>
          <w:rFonts w:eastAsia="Calibri"/>
          <w:color w:val="000000"/>
          <w:sz w:val="24"/>
          <w:szCs w:val="24"/>
          <w:lang w:eastAsia="en-US"/>
        </w:rPr>
        <w:t>3.7.3.6.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3.7.3.7. Результат исполнения административной процедуры является выдача или направление застройщику уведомления о 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либо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3.7.3.8.</w:t>
        <w:tab/>
        <w:t>Способ фиксации результата административной процедуры – отметка о выдаче уведомления в журнале регистрации.</w:t>
      </w:r>
    </w:p>
    <w:p>
      <w:pPr>
        <w:pStyle w:val="Normal"/>
        <w:ind w:firstLine="567"/>
        <w:jc w:val="both"/>
        <w:rPr>
          <w:color w:val="000000"/>
        </w:rPr>
      </w:pPr>
      <w:r>
        <w:rPr>
          <w:rFonts w:eastAsia="Calibri"/>
          <w:color w:val="000000"/>
          <w:sz w:val="24"/>
          <w:szCs w:val="24"/>
          <w:lang w:eastAsia="en-US"/>
        </w:rPr>
        <w:t>3.7.4.</w:t>
        <w:tab/>
        <w:t>Направление копии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3.7.4.1.</w:t>
        <w:tab/>
        <w:t>Основанием для начала административной процедуры является наличие подготовленного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p>
      <w:pPr>
        <w:pStyle w:val="Normal"/>
        <w:ind w:firstLine="567"/>
        <w:jc w:val="both"/>
        <w:rPr>
          <w:color w:val="000000"/>
        </w:rPr>
      </w:pPr>
      <w:r>
        <w:rPr>
          <w:rFonts w:eastAsia="Calibri"/>
          <w:color w:val="000000"/>
          <w:sz w:val="24"/>
          <w:szCs w:val="24"/>
          <w:lang w:eastAsia="en-US"/>
        </w:rPr>
        <w:t>3.7.4.2.</w:t>
        <w:tab/>
        <w:t>Содержание административной процедуры.</w:t>
      </w:r>
    </w:p>
    <w:p>
      <w:pPr>
        <w:pStyle w:val="Normal"/>
        <w:ind w:firstLine="567"/>
        <w:jc w:val="both"/>
        <w:rPr>
          <w:color w:val="000000"/>
        </w:rPr>
      </w:pPr>
      <w:r>
        <w:rPr>
          <w:rFonts w:eastAsia="Calibri"/>
          <w:color w:val="000000"/>
          <w:sz w:val="24"/>
          <w:szCs w:val="24"/>
          <w:lang w:eastAsia="en-US"/>
        </w:rPr>
        <w:t>Специалист ОКС направляет копию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орган регистрации прав, а также:</w:t>
      </w:r>
    </w:p>
    <w:p>
      <w:pPr>
        <w:pStyle w:val="Normal"/>
        <w:ind w:firstLine="567"/>
        <w:jc w:val="both"/>
        <w:rPr>
          <w:color w:val="000000"/>
        </w:rPr>
      </w:pPr>
      <w:r>
        <w:rPr>
          <w:color w:val="000000"/>
          <w:sz w:val="24"/>
          <w:szCs w:val="24"/>
        </w:rPr>
        <w:t>1) в орган исполнительной власти субъекта Российской Федерации, уполномоченный на осуществление государственного строительного надзора, в случае направления застройщику указанного уведомления по основанию, предусмотренному подпунктами 1 и 2 п.3.7.3.3. настоящего регламента;</w:t>
      </w:r>
    </w:p>
    <w:p>
      <w:pPr>
        <w:pStyle w:val="Normal"/>
        <w:ind w:firstLine="567"/>
        <w:jc w:val="both"/>
        <w:rPr>
          <w:color w:val="000000"/>
        </w:rPr>
      </w:pPr>
      <w:r>
        <w:rPr>
          <w:color w:val="000000"/>
          <w:sz w:val="24"/>
          <w:szCs w:val="24"/>
        </w:rPr>
        <w:t>2) в орган исполнительной власти субъекта Российской Федерации, уполномоченный в области охраны объектов культурного наследия, в случае направления застройщику указанного уведомления по основанию, предусмотренному подпунктом 2 п.3.7.3.3. настоящего регламента;</w:t>
      </w:r>
    </w:p>
    <w:p>
      <w:pPr>
        <w:pStyle w:val="Normal"/>
        <w:ind w:firstLine="567"/>
        <w:jc w:val="both"/>
        <w:rPr>
          <w:color w:val="000000"/>
        </w:rPr>
      </w:pPr>
      <w:r>
        <w:rPr>
          <w:color w:val="000000"/>
          <w:sz w:val="24"/>
          <w:szCs w:val="24"/>
        </w:rPr>
        <w:t>3) в федеральный орган исполнительной власти, уполномоченный на осуществление государственного земельного надзора, орган местного самоуправления, осуществляющий муниципальный земельный контроль, в случае направления застройщику указанного уведомления по основанию, предусмотренному пп.3 или 4 п.3.7.3.3. настоящего регламента.</w:t>
      </w:r>
    </w:p>
    <w:p>
      <w:pPr>
        <w:pStyle w:val="Normal"/>
        <w:ind w:firstLine="567"/>
        <w:jc w:val="both"/>
        <w:rPr>
          <w:rFonts w:eastAsia="Calibri"/>
          <w:color w:val="000000"/>
          <w:sz w:val="24"/>
          <w:szCs w:val="24"/>
          <w:lang w:eastAsia="en-US"/>
        </w:rPr>
      </w:pPr>
      <w:r>
        <w:rPr>
          <w:rFonts w:eastAsia="Calibri"/>
          <w:color w:val="000000"/>
          <w:sz w:val="24"/>
          <w:szCs w:val="24"/>
          <w:lang w:eastAsia="en-US"/>
        </w:rPr>
        <w:t>3.7.4.3.</w:t>
        <w:tab/>
        <w:t>Срок исполнения процедуры – 7 рабочих дней со дня поступления уведомления об окончании строительства.</w:t>
      </w:r>
    </w:p>
    <w:p>
      <w:pPr>
        <w:pStyle w:val="Normal"/>
        <w:ind w:firstLine="567"/>
        <w:jc w:val="both"/>
        <w:rPr>
          <w:color w:val="000000"/>
        </w:rPr>
      </w:pPr>
      <w:r>
        <w:rPr>
          <w:rFonts w:eastAsia="Calibri"/>
          <w:color w:val="000000"/>
          <w:sz w:val="24"/>
          <w:szCs w:val="24"/>
          <w:lang w:eastAsia="en-US"/>
        </w:rPr>
        <w:t>3.7.4.4. Должностным лицом, ответственным за выполнение административной процедуры является специалист, ответственный за предоставление муниципальной услуги.</w:t>
      </w:r>
    </w:p>
    <w:p>
      <w:pPr>
        <w:pStyle w:val="Normal"/>
        <w:ind w:firstLine="567"/>
        <w:jc w:val="both"/>
        <w:rPr>
          <w:color w:val="000000"/>
        </w:rPr>
      </w:pPr>
      <w:r>
        <w:rPr>
          <w:rFonts w:eastAsia="Calibri"/>
          <w:color w:val="000000"/>
          <w:sz w:val="24"/>
          <w:szCs w:val="24"/>
          <w:lang w:eastAsia="en-US"/>
        </w:rPr>
        <w:t>3.7.4.5.</w:t>
        <w:tab/>
        <w:t xml:space="preserve"> Результатом административной процедуры является направление копии уведомления о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 в органы, предусмотренные пп.3.7.4.2 настоящего регламента.</w:t>
      </w:r>
    </w:p>
    <w:p>
      <w:pPr>
        <w:pStyle w:val="Normal"/>
        <w:ind w:firstLine="567"/>
        <w:jc w:val="both"/>
        <w:rPr>
          <w:color w:val="000000"/>
        </w:rPr>
      </w:pPr>
      <w:r>
        <w:rPr>
          <w:rFonts w:eastAsia="Calibri"/>
          <w:color w:val="000000"/>
          <w:sz w:val="24"/>
          <w:szCs w:val="24"/>
          <w:lang w:eastAsia="en-US"/>
        </w:rPr>
        <w:t>3.7.4.6. Способ фиксации результата административной процедуры – отметка в журнале регистрации о направлении копии уведомления в органы, предусмотренные п.3.7.4.2 настоящего регламента.</w:t>
      </w:r>
    </w:p>
    <w:p>
      <w:pPr>
        <w:pStyle w:val="Normal"/>
        <w:ind w:firstLine="567"/>
        <w:jc w:val="both"/>
        <w:rPr>
          <w:color w:val="000000"/>
        </w:rPr>
      </w:pPr>
      <w:r>
        <w:rPr>
          <w:rFonts w:eastAsia="Calibri"/>
          <w:color w:val="000000"/>
          <w:sz w:val="24"/>
          <w:szCs w:val="24"/>
          <w:lang w:eastAsia="en-US"/>
        </w:rPr>
        <w:t>3.8.</w:t>
        <w:tab/>
        <w:t>Муниципальная услуга " Подготовка и выдача разрешений на ввод объектов в эксплуатацию на территории Шарангского муниципального района Нижегородской области" может быть предоставлена Муниципальным бюджетным учреждением "Многофункциональный центр предоставления государственных и муниципальных услуг Шарангского муниципального района" (далее – МФЦ) в соответствием с действующим регламентом МФЦ.</w:t>
      </w:r>
    </w:p>
    <w:p>
      <w:pPr>
        <w:pStyle w:val="Normal"/>
        <w:numPr>
          <w:ilvl w:val="0"/>
          <w:numId w:val="0"/>
        </w:numPr>
        <w:ind w:firstLine="567"/>
        <w:jc w:val="both"/>
        <w:outlineLvl w:val="1"/>
        <w:rPr>
          <w:color w:val="000000"/>
        </w:rPr>
      </w:pPr>
      <w:r>
        <w:rPr>
          <w:color w:val="000000"/>
          <w:sz w:val="24"/>
          <w:szCs w:val="24"/>
        </w:rPr>
        <w:t>3.8.1.</w:t>
        <w:tab/>
      </w:r>
      <w:r>
        <w:rPr>
          <w:rFonts w:eastAsia="Calibri"/>
          <w:color w:val="000000"/>
          <w:sz w:val="24"/>
          <w:szCs w:val="24"/>
          <w:lang w:eastAsia="en-US"/>
        </w:rPr>
        <w:t>Состав административных процедур по предоставлению муниципальной услуги МФЦ.</w:t>
      </w:r>
    </w:p>
    <w:p>
      <w:pPr>
        <w:pStyle w:val="Normal"/>
        <w:ind w:firstLine="567"/>
        <w:jc w:val="both"/>
        <w:rPr>
          <w:rFonts w:eastAsia="Calibri"/>
          <w:color w:val="000000"/>
          <w:sz w:val="24"/>
          <w:szCs w:val="24"/>
          <w:lang w:eastAsia="en-US"/>
        </w:rPr>
      </w:pPr>
      <w:r>
        <w:rPr>
          <w:rFonts w:eastAsia="Calibri"/>
          <w:color w:val="000000"/>
          <w:sz w:val="24"/>
          <w:szCs w:val="24"/>
          <w:lang w:eastAsia="en-US"/>
        </w:rPr>
        <w:t>Административные процедуры по предоставлению муниципальной услуги включают в себя:</w:t>
      </w:r>
    </w:p>
    <w:p>
      <w:pPr>
        <w:pStyle w:val="Normal"/>
        <w:numPr>
          <w:ilvl w:val="0"/>
          <w:numId w:val="6"/>
        </w:numPr>
        <w:ind w:left="0" w:firstLine="567"/>
        <w:jc w:val="both"/>
        <w:rPr>
          <w:color w:val="000000"/>
        </w:rPr>
      </w:pPr>
      <w:r>
        <w:rPr>
          <w:rFonts w:eastAsia="Calibri"/>
          <w:color w:val="000000"/>
          <w:sz w:val="24"/>
          <w:szCs w:val="24"/>
          <w:lang w:eastAsia="en-US"/>
        </w:rPr>
        <w:t>прием и регистрация заявления о предоставлении муниципальной услуги и документов при непосредственном обращении в МФЦ;</w:t>
      </w:r>
    </w:p>
    <w:p>
      <w:pPr>
        <w:pStyle w:val="Normal"/>
        <w:numPr>
          <w:ilvl w:val="0"/>
          <w:numId w:val="6"/>
        </w:numPr>
        <w:ind w:left="0" w:firstLine="567"/>
        <w:jc w:val="both"/>
        <w:rPr>
          <w:color w:val="000000"/>
        </w:rPr>
      </w:pPr>
      <w:r>
        <w:rPr>
          <w:rFonts w:eastAsia="Calibri"/>
          <w:color w:val="000000"/>
          <w:sz w:val="24"/>
          <w:szCs w:val="24"/>
          <w:lang w:eastAsia="en-US"/>
        </w:rPr>
        <w:t>формирование и направление запроса непосредственному исполнителю услуги – ОКС администрации;</w:t>
      </w:r>
    </w:p>
    <w:p>
      <w:pPr>
        <w:pStyle w:val="Normal"/>
        <w:numPr>
          <w:ilvl w:val="0"/>
          <w:numId w:val="6"/>
        </w:numPr>
        <w:ind w:left="0" w:firstLine="567"/>
        <w:jc w:val="both"/>
        <w:rPr>
          <w:color w:val="000000"/>
        </w:rPr>
      </w:pPr>
      <w:r>
        <w:rPr>
          <w:rFonts w:eastAsia="Calibri"/>
          <w:color w:val="000000"/>
          <w:sz w:val="24"/>
          <w:szCs w:val="24"/>
          <w:lang w:eastAsia="en-US"/>
        </w:rPr>
        <w:t>получение результата оказания услуги от ОКСа и выдача результата предоставления муниципальной услуги МФЦ заявителю.</w:t>
      </w:r>
    </w:p>
    <w:p>
      <w:pPr>
        <w:pStyle w:val="Normal"/>
        <w:ind w:firstLine="567"/>
        <w:jc w:val="both"/>
        <w:rPr>
          <w:rFonts w:eastAsia="Calibri" w:cs="Arial"/>
          <w:color w:val="000000"/>
          <w:sz w:val="24"/>
          <w:szCs w:val="24"/>
          <w:lang w:eastAsia="en-US"/>
        </w:rPr>
      </w:pPr>
      <w:r>
        <w:rPr>
          <w:rFonts w:eastAsia="Calibri" w:cs="Arial"/>
          <w:color w:val="000000"/>
          <w:sz w:val="24"/>
          <w:szCs w:val="24"/>
          <w:lang w:eastAsia="en-US"/>
        </w:rPr>
      </w:r>
    </w:p>
    <w:p>
      <w:pPr>
        <w:pStyle w:val="Normal"/>
        <w:numPr>
          <w:ilvl w:val="0"/>
          <w:numId w:val="0"/>
        </w:numPr>
        <w:ind w:firstLine="567"/>
        <w:jc w:val="both"/>
        <w:outlineLvl w:val="1"/>
        <w:rPr>
          <w:color w:val="000000"/>
        </w:rPr>
      </w:pPr>
      <w:r>
        <w:rPr>
          <w:color w:val="000000"/>
          <w:sz w:val="24"/>
          <w:szCs w:val="24"/>
        </w:rPr>
        <w:t>3.8.1.1.</w:t>
        <w:tab/>
        <w:t>Прием и регистрация заявления о предоставлении муниципальной услуги и документов при непосредственном обращении в МФЦ.</w:t>
      </w:r>
    </w:p>
    <w:p>
      <w:pPr>
        <w:pStyle w:val="Normal"/>
        <w:ind w:firstLine="567"/>
        <w:jc w:val="both"/>
        <w:rPr>
          <w:color w:val="000000"/>
        </w:rPr>
      </w:pPr>
      <w:r>
        <w:rPr>
          <w:color w:val="000000"/>
          <w:sz w:val="24"/>
          <w:szCs w:val="24"/>
        </w:rPr>
        <w:t xml:space="preserve">Основанием для начала административной процедуры является поступление заявления либо уведомления об окончании строительства и прилагаемых документов в соответствии с п.2.6. настоящего регламента в МФЦ в письменной форме (лично, по почте, по электронной почте, по факсу). Ответственное должностное лицо проводит процедуру регистрации заявления в установленные сроки в соответствии с действующим регламентом деятельности МФЦ. </w:t>
      </w:r>
      <w:r>
        <w:rPr>
          <w:rFonts w:eastAsia="Calibri"/>
          <w:color w:val="000000"/>
          <w:sz w:val="24"/>
          <w:szCs w:val="24"/>
          <w:lang w:eastAsia="en-US"/>
        </w:rPr>
        <w:t>Критерием принятия решения о приеме и регистрации заявления является наличие заявления о предоставлении муниципальной услуги и документов. Результатом выполнения данной административной процедуры является регистрация заявления сотрудником МФЦ, ответственным за прием и регистрацию заявлений. Способ фиксации результата административной процедуры – в соответствии с действующим регламентом деятельности МФЦ.</w:t>
      </w:r>
    </w:p>
    <w:p>
      <w:pPr>
        <w:pStyle w:val="Normal"/>
        <w:ind w:firstLine="567"/>
        <w:jc w:val="both"/>
        <w:rPr>
          <w:color w:val="000000"/>
        </w:rPr>
      </w:pPr>
      <w:r>
        <w:rPr>
          <w:rFonts w:eastAsia="Calibri"/>
          <w:color w:val="000000"/>
          <w:sz w:val="24"/>
          <w:szCs w:val="24"/>
          <w:lang w:eastAsia="en-US"/>
        </w:rPr>
        <w:t>3.8.1.2.</w:t>
        <w:tab/>
        <w:t xml:space="preserve">Формирование и направление запроса непосредственному исполнителю услуги – ОКС администрации. </w:t>
      </w:r>
    </w:p>
    <w:p>
      <w:pPr>
        <w:pStyle w:val="Normal"/>
        <w:numPr>
          <w:ilvl w:val="0"/>
          <w:numId w:val="0"/>
        </w:numPr>
        <w:ind w:firstLine="567"/>
        <w:jc w:val="both"/>
        <w:outlineLvl w:val="1"/>
        <w:rPr>
          <w:color w:val="000000"/>
        </w:rPr>
      </w:pPr>
      <w:r>
        <w:rPr>
          <w:color w:val="000000"/>
          <w:sz w:val="24"/>
          <w:szCs w:val="24"/>
        </w:rPr>
        <w:t>Основанием для начала административной процедуры является регистрация заявления либо уведомления об окончании строительства и прилагаемых к нему документов</w:t>
      </w:r>
      <w:r>
        <w:rPr>
          <w:rFonts w:eastAsia="Calibri"/>
          <w:color w:val="000000"/>
          <w:sz w:val="24"/>
          <w:szCs w:val="24"/>
          <w:lang w:eastAsia="en-US"/>
        </w:rPr>
        <w:t xml:space="preserve"> в МФЦ. </w:t>
      </w:r>
    </w:p>
    <w:p>
      <w:pPr>
        <w:pStyle w:val="Normal"/>
        <w:numPr>
          <w:ilvl w:val="0"/>
          <w:numId w:val="0"/>
        </w:numPr>
        <w:ind w:firstLine="567"/>
        <w:jc w:val="both"/>
        <w:outlineLvl w:val="1"/>
        <w:rPr>
          <w:color w:val="000000"/>
        </w:rPr>
      </w:pPr>
      <w:r>
        <w:rPr>
          <w:rFonts w:eastAsia="Calibri"/>
          <w:color w:val="000000"/>
          <w:sz w:val="24"/>
          <w:szCs w:val="24"/>
          <w:lang w:eastAsia="en-US"/>
        </w:rPr>
        <w:t xml:space="preserve">Должностное лицо МФЦ направляет зарегистрированное заявление </w:t>
      </w:r>
      <w:r>
        <w:rPr>
          <w:color w:val="000000"/>
          <w:sz w:val="24"/>
          <w:szCs w:val="24"/>
        </w:rPr>
        <w:t xml:space="preserve">либо уведомление об окончании строительства </w:t>
      </w:r>
      <w:r>
        <w:rPr>
          <w:rFonts w:eastAsia="Calibri"/>
          <w:color w:val="000000"/>
          <w:sz w:val="24"/>
          <w:szCs w:val="24"/>
          <w:lang w:eastAsia="en-US"/>
        </w:rPr>
        <w:t xml:space="preserve">с пакетом документов в ОКС для исполнения </w:t>
      </w:r>
      <w:r>
        <w:rPr>
          <w:color w:val="000000"/>
          <w:sz w:val="24"/>
          <w:szCs w:val="24"/>
        </w:rPr>
        <w:t>в сроки, установленные в соглашении о взаимодействии между администрацией Шарангского муниципального района и МФЦ. Поступивший в ОКС запрос регистрируется должностным лицом ОКС, ответственным за регистрацию заявлений.</w:t>
      </w:r>
    </w:p>
    <w:p>
      <w:pPr>
        <w:pStyle w:val="Normal"/>
        <w:numPr>
          <w:ilvl w:val="0"/>
          <w:numId w:val="0"/>
        </w:numPr>
        <w:ind w:firstLine="567"/>
        <w:jc w:val="both"/>
        <w:outlineLvl w:val="1"/>
        <w:rPr>
          <w:color w:val="000000"/>
        </w:rPr>
      </w:pPr>
      <w:r>
        <w:rPr>
          <w:color w:val="000000"/>
          <w:sz w:val="24"/>
          <w:szCs w:val="24"/>
        </w:rPr>
        <w:t xml:space="preserve">Результатом процедуры является получение заявления либо уведомления об окончании строительства с пакетом документов от МФЦ ОКСом. </w:t>
      </w:r>
    </w:p>
    <w:p>
      <w:pPr>
        <w:pStyle w:val="Normal"/>
        <w:numPr>
          <w:ilvl w:val="0"/>
          <w:numId w:val="0"/>
        </w:numPr>
        <w:ind w:firstLine="567"/>
        <w:jc w:val="both"/>
        <w:outlineLvl w:val="1"/>
        <w:rPr>
          <w:color w:val="000000"/>
        </w:rPr>
      </w:pPr>
      <w:r>
        <w:rPr>
          <w:color w:val="000000"/>
          <w:sz w:val="24"/>
          <w:szCs w:val="24"/>
        </w:rPr>
        <w:t>3.8.1.3.</w:t>
        <w:tab/>
      </w:r>
      <w:r>
        <w:rPr>
          <w:rFonts w:eastAsia="Calibri"/>
          <w:color w:val="000000"/>
          <w:sz w:val="24"/>
          <w:szCs w:val="24"/>
          <w:lang w:eastAsia="en-US"/>
        </w:rPr>
        <w:t>получение результата оказания услуги от ОКСа и выдача результата предоставления муниципальной услуги МФЦ заявителю.</w:t>
      </w:r>
      <w:r>
        <w:rPr>
          <w:color w:val="000000"/>
          <w:sz w:val="24"/>
          <w:szCs w:val="24"/>
        </w:rPr>
        <w:t xml:space="preserve"> </w:t>
      </w:r>
    </w:p>
    <w:p>
      <w:pPr>
        <w:pStyle w:val="Normal"/>
        <w:numPr>
          <w:ilvl w:val="0"/>
          <w:numId w:val="0"/>
        </w:numPr>
        <w:ind w:firstLine="567"/>
        <w:jc w:val="both"/>
        <w:outlineLvl w:val="1"/>
        <w:rPr>
          <w:color w:val="000000"/>
        </w:rPr>
      </w:pPr>
      <w:r>
        <w:rPr>
          <w:color w:val="000000"/>
          <w:sz w:val="24"/>
          <w:szCs w:val="24"/>
        </w:rPr>
        <w:t xml:space="preserve">Основанием для начала процедуры является получение в установленные сроки от ОКСа разрешения на ввод объекта в эксплуатацию или письменного отказа в предоставлении муниципальной услуги, </w:t>
      </w:r>
      <w:r>
        <w:rPr>
          <w:rFonts w:eastAsia="Calibri"/>
          <w:color w:val="000000"/>
          <w:sz w:val="24"/>
          <w:szCs w:val="24"/>
          <w:lang w:eastAsia="en-US"/>
        </w:rPr>
        <w:t>уведомления о соответствии или несоответствии построенного или реконструированного объекта индивидуального жилищного строительства или садового дома требованиям законодательства о градостроительной деятельности</w:t>
      </w:r>
      <w:r>
        <w:rPr>
          <w:color w:val="000000"/>
          <w:sz w:val="24"/>
          <w:szCs w:val="24"/>
        </w:rPr>
        <w:t xml:space="preserve"> для последующей выдачи (направления) заявителю. Должностное лицо МФЦ в соответствии с регламентом деятельности МФЦ регистрирует полученные документы.</w:t>
      </w:r>
    </w:p>
    <w:p>
      <w:pPr>
        <w:pStyle w:val="Normal"/>
        <w:numPr>
          <w:ilvl w:val="0"/>
          <w:numId w:val="0"/>
        </w:numPr>
        <w:ind w:firstLine="567"/>
        <w:jc w:val="both"/>
        <w:outlineLvl w:val="1"/>
        <w:rPr>
          <w:color w:val="000000"/>
        </w:rPr>
      </w:pPr>
      <w:r>
        <w:rPr>
          <w:color w:val="000000"/>
          <w:sz w:val="24"/>
          <w:szCs w:val="24"/>
        </w:rPr>
        <w:t>Специалист МФЦ осуществляет выдачу заявителю результата услуги в порядке и сроки, предусмотренные Регламентом деятельности МФЦ.</w:t>
      </w:r>
    </w:p>
    <w:p>
      <w:pPr>
        <w:pStyle w:val="Normal"/>
        <w:ind w:firstLine="567"/>
        <w:jc w:val="both"/>
        <w:rPr>
          <w:color w:val="000000"/>
          <w:sz w:val="24"/>
          <w:szCs w:val="24"/>
        </w:rPr>
      </w:pPr>
      <w:r>
        <w:rPr>
          <w:color w:val="000000"/>
          <w:sz w:val="24"/>
          <w:szCs w:val="24"/>
        </w:rPr>
      </w:r>
    </w:p>
    <w:p>
      <w:pPr>
        <w:pStyle w:val="ConsPlusNormal"/>
        <w:ind w:firstLine="567"/>
        <w:jc w:val="center"/>
        <w:rPr>
          <w:rFonts w:ascii="Times New Roman" w:hAnsi="Times New Roman"/>
          <w:color w:val="000000"/>
        </w:rPr>
      </w:pPr>
      <w:r>
        <w:rPr>
          <w:rFonts w:cs="Times New Roman" w:ascii="Times New Roman" w:hAnsi="Times New Roman"/>
          <w:color w:val="000000"/>
          <w:sz w:val="24"/>
          <w:szCs w:val="24"/>
        </w:rPr>
        <w:t>IV. ФОРМЫ КОНТРОЛЯ ЗА ПРЕДОСТАВЛЕНИЕМ МУНИЦИПАЛЬНОЙ УСЛУГИ</w:t>
      </w:r>
    </w:p>
    <w:p>
      <w:pPr>
        <w:pStyle w:val="ConsPlusNormal"/>
        <w:ind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Normal"/>
        <w:ind w:firstLine="567"/>
        <w:jc w:val="both"/>
        <w:rPr>
          <w:color w:val="000000"/>
        </w:rPr>
      </w:pPr>
      <w:r>
        <w:rPr>
          <w:color w:val="000000"/>
          <w:sz w:val="24"/>
          <w:szCs w:val="24"/>
          <w:lang w:eastAsia="en-US"/>
        </w:rPr>
        <w:t>4.1. Должностные лица Отдела несут персональную ответственность за несоблюдение требований регламента при исполнении муниципальной услуги.</w:t>
      </w:r>
    </w:p>
    <w:p>
      <w:pPr>
        <w:pStyle w:val="Normal"/>
        <w:ind w:firstLine="567"/>
        <w:jc w:val="both"/>
        <w:rPr>
          <w:color w:val="000000"/>
          <w:sz w:val="24"/>
          <w:szCs w:val="24"/>
          <w:lang w:eastAsia="en-US"/>
        </w:rPr>
      </w:pPr>
      <w:r>
        <w:rPr>
          <w:color w:val="000000"/>
          <w:sz w:val="24"/>
          <w:szCs w:val="24"/>
          <w:lang w:eastAsia="en-US"/>
        </w:rPr>
        <w:t>4.2. По результатам проведенных проверок в случае выявления нарушения прав заявителей к виновным должностным лицам применяются меры ответственности в порядке, установленном законодательством Российской Федерации и Нижегородской области, нормативными правовыми актами органов местного самоуправления.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4.3. Контроль за полнотой и качеством исполнения муниципальной услуги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содержащие жалобы на решения, действия (бездействие) должностных лиц.</w:t>
      </w:r>
    </w:p>
    <w:p>
      <w:pPr>
        <w:pStyle w:val="ConsPlusNormal"/>
        <w:ind w:firstLine="567"/>
        <w:jc w:val="center"/>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center"/>
        <w:rPr>
          <w:rFonts w:ascii="Times New Roman" w:hAnsi="Times New Roman"/>
          <w:color w:val="000000"/>
        </w:rPr>
      </w:pPr>
      <w:r>
        <w:rPr>
          <w:rFonts w:cs="Times New Roman" w:ascii="Times New Roman" w:hAnsi="Times New Roman"/>
          <w:color w:val="000000"/>
          <w:sz w:val="24"/>
          <w:szCs w:val="24"/>
        </w:rPr>
        <w:t>V. ДОСУДЕБНЫЙ (ВНЕСУДЕБНЫЙ) ПОРЯДОК ОБЖАЛОВАНИЯ РЕШЕНИЙ И ДЕЙСТВИЙ (БЕЗДЕЙСТВИЯ) ОРГАНА И ДОЛЖНОСТНЫХ ЛИЦ, ПРЕДОСТАВЛЯЮЩИХ МУНИЦИПАЛЬНУЮ УСЛУГУ</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5.1. Информация для заявителя о его праве на досудебное (внесудебное) обжалование действий (бездействия) и решений, принятых (осуществляемых) в ходе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Заявитель может обратиться с жалобой, в том числе в следующих случаях:</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 нарушение срока регистрации заявления заявителя о предоставлении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нарушение срока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 требование у заявителя документов, не предусмотренных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для предоставления муниципальной услуги, у заявителя;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Нижегородской области, муниципальными правовыми актами;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7) отказа в исправлении допущенных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 Общие требования к порядку подачи и рассмотрения жалобы</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5.2.1. Жалоба подается в письменной форме, в том числе при личном приеме заявителя, или в электронной форме в ОКС или администрацию Шарангского муниципального района, а также МФЦ.</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5.2.2. Жалоба может быть направлена:</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 xml:space="preserve">- по почте по адресу: 606840, Нижегородская область, р.п. Шаранга, ул. Свободы, д. 2 </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принята при личном приеме заявителя в администрации Шарангского муниципального района по адресу: р.п. Шаранга, ул. Свободы, д. 2</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 МФЦ по адресу: р.п. Шаранга, ул. Ленина, д. 19. В данном случае срок рассмотрения жалобы исчисляется со дня регистрации жалобы в администрации Шарангского муниципального района;</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 в электронном виде посредством:</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а) официального сайта администрации Шарангского муниципального района в информационно-телекоммуникационной сети "Интернет" (http://www.sharanga.nnov.ru.);</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б) с использованием федеральной государственной информационной системы "Единый портал государственных и муниципальных услуг (функций)" (http://www.gosuslugi.ru) и на Едином Интернет-портале государственных и муниципальных услуг (функций) Нижегородской области (http://gu.nnov.ru).</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5.2.3. Жалоба должна содержать:</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 наименование органа, предоставляющего муниципальную услугу, должностного лица администрации Шарангского муниципального района, предоставляющего муниципальную услугу, решения и действия (бездействие) которых обжалуются;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3) сведения об обжалуемых решениях и действиях (бездействии) администрации Шарангского муниципального района, ОКС, должностного лица либо муниципального служащего;</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4) доводы, на основании которых заявитель не согласен с решением и действием (бездействием) администрации Шарангского муниципального района, ОКС, должностного лица либо муниципального служащего. Заявителем могут быть представлены документы (при наличии), подтверждающие доводы заявителя, либо их копии.</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5.3. Сроки рассмотрения жалобы</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Жалоба, поступившая в администрацию Шарангского муниципального района,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администрации Шарангского муниципального района, должностного лица, предоставляющего муниципальную услугу,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пяти рабочих дней со дня ее регистрации, если более короткий срок не предусмотрен действующим законодательством РФ.</w:t>
      </w:r>
    </w:p>
    <w:p>
      <w:pPr>
        <w:pStyle w:val="ConsPlusNormal"/>
        <w:ind w:firstLine="567"/>
        <w:jc w:val="both"/>
        <w:rPr>
          <w:rFonts w:ascii="Times New Roman" w:hAnsi="Times New Roman"/>
          <w:color w:val="000000"/>
        </w:rPr>
      </w:pPr>
      <w:bookmarkStart w:id="9" w:name="P443"/>
      <w:bookmarkEnd w:id="9"/>
      <w:r>
        <w:rPr>
          <w:rFonts w:cs="Times New Roman" w:ascii="Times New Roman" w:hAnsi="Times New Roman"/>
          <w:color w:val="000000"/>
          <w:sz w:val="24"/>
          <w:szCs w:val="24"/>
        </w:rPr>
        <w:t>5.4. Результат досудебного (внесудебного) обжалования применительно к каждой процедуре обжалования.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5.4.1. По результатам рассмотрения жалобы уполномоченный орган (должностное лицо) принимает одно из следующих решений:</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1) удовлетворяет жалобу,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Нижегородской области, муниципальными правовыми актами, а также в иных формах;</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2) отказывает в удовлетворении жалобы.</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5.4.2. В случае если в жалобе не указаны фамилия гражданина, направившего жалобу, и (или) почтовый адрес, по которому должен быть направлен ответ, ответ на жалобу не дается.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когда в жалобе обжалуется судебное решение, жалоба в течение семи дней со дня регистрации возвращается гражданину, направившему жалобу, с разъяснением порядка обжалования данного судебного решения.</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когда в жалобе содержатся нецензурные либо оскорбительные выражения, угрозы жизни, здоровью и имуществу должностного лица, а также членов его семьи, орган местного самоуправления, должностное лицо вправе оставить жалобу без ответа по существу поставленных в ней вопросов и сообщить гражданину, направившему обращение, о недопустимости злоупотребления правом.</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если текст жалобы не поддается прочтению, ответ на жалобу не дается и она не подлежит рассмотрению, о чем в течение семи дней со дня регистрации жалобы сообщается гражданину, направившему жалобу, если его фамилия и почтовый адрес поддаются прочтению.</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если в жалобе гражданина содержится вопрос, на который ему многократно давались письменные ответы по существу в связи с ранее направляемыми жалобами, и при этом в жалобе не приводятся новые доводы или обстоятельства, уполномоченный орган (должностное лицо) вправе принять решение о безосновательности очередной жалобы и прекращении переписки с гражданином по данному вопросу при условии, что указанная жалоба и ранее направляемые жалобы направлялись в администрацию Шарангского муниципального района или одному и тому же должностному лицу. О данном решении уведомляется гражданин, направивший жалобы.</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В случае если причины, по которым ответ по существу поставленных в жалобе вопросов не мог быть дан, в последующем были устранены, гражданин вправе вновь направить жалобу.</w:t>
      </w:r>
    </w:p>
    <w:p>
      <w:pPr>
        <w:pStyle w:val="ConsPlusNormal"/>
        <w:ind w:firstLine="567"/>
        <w:jc w:val="both"/>
        <w:rPr>
          <w:rFonts w:ascii="Times New Roman" w:hAnsi="Times New Roman" w:cs="Times New Roman"/>
          <w:color w:val="000000"/>
          <w:sz w:val="24"/>
          <w:szCs w:val="24"/>
        </w:rPr>
      </w:pPr>
      <w:r>
        <w:rPr>
          <w:rFonts w:cs="Times New Roman" w:ascii="Times New Roman" w:hAnsi="Times New Roman"/>
          <w:color w:val="000000"/>
          <w:sz w:val="24"/>
          <w:szCs w:val="24"/>
        </w:rPr>
        <w:t>При рассмотрении жалобы гражданин вправе представлять дополнительные документы и материалы либо обращаться с просьбой об их истребовании, а также вправе знакомиться с документами и материалами, касающимися рассмотрения жалобы, если это не затрагивает права, свободы и законные интересы других лиц и если в указанных документах и материалах не содержатся сведения, составляющие государственную или иную охраняемую федеральным законом тайну.</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5.5. Порядок направления ответа о результатах рассмотрения жалобы</w:t>
      </w:r>
    </w:p>
    <w:p>
      <w:pPr>
        <w:pStyle w:val="ConsPlusNormal"/>
        <w:ind w:firstLine="567"/>
        <w:jc w:val="both"/>
        <w:rPr>
          <w:rFonts w:ascii="Times New Roman" w:hAnsi="Times New Roman"/>
          <w:color w:val="000000"/>
        </w:rPr>
      </w:pPr>
      <w:r>
        <w:rPr>
          <w:rFonts w:cs="Times New Roman" w:ascii="Times New Roman" w:hAnsi="Times New Roman"/>
          <w:color w:val="000000"/>
          <w:sz w:val="24"/>
          <w:szCs w:val="24"/>
        </w:rPr>
        <w:t>Не позднее дня, следующего за днем принятия решения, указанного в пункте 5.4 настоящего регламента, заявителю в письменной форме и по желанию заявителя в электронной форме направляется мотивированный ответ о результатах рассмотрения жалобы.</w:t>
      </w:r>
      <w:r>
        <w:br w:type="page"/>
      </w:r>
    </w:p>
    <w:p>
      <w:pPr>
        <w:pStyle w:val="Normal"/>
        <w:numPr>
          <w:ilvl w:val="0"/>
          <w:numId w:val="0"/>
        </w:numPr>
        <w:ind w:left="4536" w:hanging="0"/>
        <w:jc w:val="center"/>
        <w:outlineLvl w:val="0"/>
        <w:rPr>
          <w:rFonts w:eastAsia="Calibri"/>
          <w:color w:val="000000"/>
          <w:sz w:val="24"/>
          <w:szCs w:val="24"/>
          <w:lang w:eastAsia="en-US"/>
        </w:rPr>
      </w:pPr>
      <w:r>
        <w:rPr>
          <w:rFonts w:eastAsia="Calibri"/>
          <w:color w:val="000000"/>
          <w:sz w:val="24"/>
          <w:szCs w:val="24"/>
          <w:lang w:eastAsia="en-US"/>
        </w:rPr>
        <w:t>Приложение № 1</w:t>
      </w:r>
    </w:p>
    <w:p>
      <w:pPr>
        <w:pStyle w:val="Normal"/>
        <w:ind w:left="4536" w:hanging="0"/>
        <w:jc w:val="center"/>
        <w:rPr>
          <w:rFonts w:eastAsia="Calibri"/>
          <w:color w:val="000000"/>
          <w:sz w:val="24"/>
          <w:szCs w:val="24"/>
          <w:lang w:eastAsia="en-US"/>
        </w:rPr>
      </w:pPr>
      <w:r>
        <w:rPr>
          <w:rFonts w:eastAsia="Calibri"/>
          <w:color w:val="000000"/>
          <w:sz w:val="24"/>
          <w:szCs w:val="24"/>
          <w:lang w:eastAsia="en-US"/>
        </w:rPr>
        <w:t>к административному регламенту</w:t>
      </w:r>
    </w:p>
    <w:p>
      <w:pPr>
        <w:pStyle w:val="Normal"/>
        <w:ind w:left="4536" w:hanging="0"/>
        <w:jc w:val="center"/>
        <w:rPr>
          <w:rFonts w:eastAsia="Calibri"/>
          <w:color w:val="000000"/>
          <w:sz w:val="24"/>
          <w:szCs w:val="24"/>
          <w:lang w:eastAsia="en-US"/>
        </w:rPr>
      </w:pPr>
      <w:r>
        <w:rPr>
          <w:rFonts w:eastAsia="Calibri"/>
          <w:color w:val="000000"/>
          <w:sz w:val="24"/>
          <w:szCs w:val="24"/>
          <w:lang w:eastAsia="en-US"/>
        </w:rPr>
        <w:t>по предоставлению муниципальной услуги</w:t>
      </w:r>
    </w:p>
    <w:p>
      <w:pPr>
        <w:pStyle w:val="Normal"/>
        <w:ind w:left="4536" w:hanging="0"/>
        <w:jc w:val="center"/>
        <w:rPr>
          <w:color w:val="000000"/>
          <w:sz w:val="24"/>
          <w:szCs w:val="24"/>
        </w:rPr>
      </w:pPr>
      <w:r>
        <w:rPr>
          <w:rFonts w:eastAsia="Calibri"/>
          <w:color w:val="000000"/>
          <w:sz w:val="24"/>
          <w:szCs w:val="24"/>
          <w:lang w:eastAsia="en-US"/>
        </w:rPr>
        <w:t>«</w:t>
      </w:r>
      <w:r>
        <w:rPr>
          <w:color w:val="000000"/>
          <w:sz w:val="24"/>
          <w:szCs w:val="24"/>
        </w:rPr>
        <w:t>Подготовка и выдача разрешений на ввод объектов в эксплуатацию на территории Шарангского муниципального района Нижегородской области</w:t>
      </w:r>
      <w:r>
        <w:rPr>
          <w:rFonts w:eastAsia="Calibri"/>
          <w:color w:val="000000"/>
          <w:sz w:val="24"/>
          <w:szCs w:val="24"/>
          <w:lang w:eastAsia="en-US"/>
        </w:rPr>
        <w:t>»</w:t>
      </w:r>
    </w:p>
    <w:p>
      <w:pPr>
        <w:pStyle w:val="Normal"/>
        <w:jc w:val="center"/>
        <w:rPr>
          <w:rFonts w:eastAsia="Calibri"/>
          <w:color w:val="000000"/>
          <w:sz w:val="24"/>
          <w:szCs w:val="24"/>
          <w:lang w:eastAsia="en-US"/>
        </w:rPr>
      </w:pPr>
      <w:r>
        <w:rPr>
          <w:rFonts w:eastAsia="Calibri"/>
          <w:color w:val="000000"/>
          <w:sz w:val="24"/>
          <w:szCs w:val="24"/>
          <w:lang w:eastAsia="en-US"/>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 xml:space="preserve">В </w:t>
        <w:tab/>
        <w:t>____________________________________________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(наименование органа, уполномоченного на выдачу</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разрешения)</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Застройщик 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(полное наименование заявителя,</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юридический, почтовый адрес; Ф.И.О. руководителя;</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телефон; банковские реквизиты (наименование</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_________________________________________________</w:t>
      </w:r>
    </w:p>
    <w:p>
      <w:pPr>
        <w:pStyle w:val="ConsPlusNonformat"/>
        <w:jc w:val="right"/>
        <w:rPr>
          <w:rFonts w:ascii="Times New Roman" w:hAnsi="Times New Roman" w:cs="Times New Roman"/>
          <w:color w:val="000000"/>
        </w:rPr>
      </w:pPr>
      <w:r>
        <w:rPr>
          <w:rFonts w:cs="Times New Roman" w:ascii="Times New Roman" w:hAnsi="Times New Roman"/>
          <w:color w:val="000000"/>
        </w:rPr>
        <w:t xml:space="preserve"> </w:t>
      </w:r>
      <w:r>
        <w:rPr>
          <w:rFonts w:cs="Times New Roman" w:ascii="Times New Roman" w:hAnsi="Times New Roman"/>
          <w:color w:val="000000"/>
        </w:rPr>
        <w:t>банка, р/с, к/с, БИК)</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_________________________________________________</w:t>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right"/>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Заявление</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Прошу выдать разрешение на ввод объекта в эксплуатацию 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_______________________________________________________________________________</w:t>
      </w:r>
    </w:p>
    <w:p>
      <w:pPr>
        <w:pStyle w:val="ConsPlusNonformat"/>
        <w:jc w:val="center"/>
        <w:rPr>
          <w:rFonts w:ascii="Times New Roman" w:hAnsi="Times New Roman" w:cs="Times New Roman"/>
          <w:color w:val="000000"/>
        </w:rPr>
      </w:pPr>
      <w:r>
        <w:rPr>
          <w:rFonts w:cs="Times New Roman" w:ascii="Times New Roman" w:hAnsi="Times New Roman"/>
          <w:color w:val="000000"/>
        </w:rPr>
        <w:t>(наименование объекта капитального строительства в соответствии с проектной  документацией, адрес)</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______________________________________________________________________________</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При этом сообщаю следующее и прилагаю следующие документы:</w:t>
      </w:r>
    </w:p>
    <w:tbl>
      <w:tblPr>
        <w:tblW w:w="9360" w:type="dxa"/>
        <w:jc w:val="left"/>
        <w:tblInd w:w="187" w:type="dxa"/>
        <w:tblCellMar>
          <w:top w:w="0" w:type="dxa"/>
          <w:left w:w="108" w:type="dxa"/>
          <w:bottom w:w="0" w:type="dxa"/>
          <w:right w:w="108" w:type="dxa"/>
        </w:tblCellMar>
        <w:tblLook w:val="04a0"/>
      </w:tblPr>
      <w:tblGrid>
        <w:gridCol w:w="8669"/>
        <w:gridCol w:w="690"/>
      </w:tblGrid>
      <w:tr>
        <w:trPr/>
        <w:tc>
          <w:tcPr>
            <w:tcW w:w="9359" w:type="dxa"/>
            <w:gridSpan w:val="2"/>
            <w:tcBorders/>
            <w:shd w:color="auto"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1) правоустанавливающие документы на земельный участок, в том числе соглашение об установлении сервитута, решение об установлении публичного сервитута</w:t>
            </w:r>
          </w:p>
        </w:tc>
      </w:tr>
      <w:tr>
        <w:trPr/>
        <w:tc>
          <w:tcPr>
            <w:tcW w:w="8669"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r>
        <w:trPr/>
        <w:tc>
          <w:tcPr>
            <w:tcW w:w="8669"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r>
        <w:trPr/>
        <w:tc>
          <w:tcPr>
            <w:tcW w:w="8669" w:type="dxa"/>
            <w:tcBorders>
              <w:top w:val="single" w:sz="4" w:space="0" w:color="000000"/>
            </w:tcBorders>
            <w:shd w:color="auto" w:fill="auto" w:val="clear"/>
          </w:tcPr>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(свидетельство о государственной регистрации права собственности на</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земельный участок или договор аренды земельного участка)</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r>
        <w:trPr/>
        <w:tc>
          <w:tcPr>
            <w:tcW w:w="9359" w:type="dxa"/>
            <w:gridSpan w:val="2"/>
            <w:tcBorders/>
            <w:shd w:color="auto" w:fill="auto" w:val="clear"/>
          </w:tcPr>
          <w:p>
            <w:pPr>
              <w:pStyle w:val="ConsPlusNormal"/>
              <w:ind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2) градостроительный план земельного участка, представленный для получения разрешения на строительство, или в случае строительства, реконструкции линейного объекта проект планировки территории и проект межевания территории (за исключением случаев, при которых для строительства, реконструкции линейного объекта не требуется подготовка документации по планировке территории), проект планировки территории в случае выдачи разрешения на ввод в эксплуатацию линейного объекта, для размещения которого не требуется образование земельного участка</w:t>
            </w:r>
          </w:p>
        </w:tc>
      </w:tr>
      <w:tr>
        <w:trPr/>
        <w:tc>
          <w:tcPr>
            <w:tcW w:w="8669"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r>
        <w:trPr/>
        <w:tc>
          <w:tcPr>
            <w:tcW w:w="8669" w:type="dxa"/>
            <w:tcBorders>
              <w:top w:val="single" w:sz="4" w:space="0" w:color="000000"/>
              <w:bottom w:val="single" w:sz="4" w:space="0" w:color="000000"/>
            </w:tcBorders>
            <w:shd w:color="auto" w:fill="auto" w:val="clear"/>
          </w:tcPr>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(кадастровый номер земельного участка, адрес)</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r>
        <w:trPr/>
        <w:tc>
          <w:tcPr>
            <w:tcW w:w="8669" w:type="dxa"/>
            <w:tcBorders>
              <w:top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c>
          <w:tcPr>
            <w:tcW w:w="690" w:type="dxa"/>
            <w:tcBorders/>
            <w:shd w:color="auto" w:fill="auto" w:val="clear"/>
            <w:tcMar>
              <w:left w:w="0" w:type="dxa"/>
              <w:right w:w="0" w:type="dxa"/>
            </w:tcMar>
          </w:tcPr>
          <w:p>
            <w:pPr>
              <w:pStyle w:val="Normal"/>
              <w:snapToGrid w:val="false"/>
              <w:rPr>
                <w:color w:val="000000"/>
                <w:sz w:val="24"/>
                <w:szCs w:val="24"/>
              </w:rPr>
            </w:pPr>
            <w:r>
              <w:rPr>
                <w:color w:val="000000"/>
                <w:sz w:val="24"/>
                <w:szCs w:val="24"/>
              </w:rPr>
            </w:r>
          </w:p>
        </w:tc>
      </w:tr>
    </w:tbl>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3) разрешение на строительство </w:t>
      </w:r>
    </w:p>
    <w:tbl>
      <w:tblPr>
        <w:tblW w:w="9465" w:type="dxa"/>
        <w:jc w:val="left"/>
        <w:tblInd w:w="97" w:type="dxa"/>
        <w:tblCellMar>
          <w:top w:w="0" w:type="dxa"/>
          <w:left w:w="108" w:type="dxa"/>
          <w:bottom w:w="0" w:type="dxa"/>
          <w:right w:w="108" w:type="dxa"/>
        </w:tblCellMar>
        <w:tblLook w:val="04a0"/>
      </w:tblPr>
      <w:tblGrid>
        <w:gridCol w:w="9465"/>
      </w:tblGrid>
      <w:tr>
        <w:trPr/>
        <w:tc>
          <w:tcPr>
            <w:tcW w:w="9465"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(номер и дата выдачи)</w:t>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 xml:space="preserve">4) акт приемки объекта капитального строительства (в случае осуществления </w:t>
      </w:r>
      <w:r>
        <w:rPr>
          <w:rFonts w:ascii="Times New Roman" w:hAnsi="Times New Roman"/>
          <w:color w:val="000000"/>
          <w:sz w:val="24"/>
          <w:szCs w:val="24"/>
        </w:rPr>
        <w:t>строительства, реконструкции, капитального ремонта на основании договора)</w:t>
      </w:r>
    </w:p>
    <w:tbl>
      <w:tblPr>
        <w:tblW w:w="9405" w:type="dxa"/>
        <w:jc w:val="left"/>
        <w:tblInd w:w="157" w:type="dxa"/>
        <w:tblCellMar>
          <w:top w:w="0" w:type="dxa"/>
          <w:left w:w="108" w:type="dxa"/>
          <w:bottom w:w="0" w:type="dxa"/>
          <w:right w:w="108" w:type="dxa"/>
        </w:tblCellMar>
        <w:tblLook w:val="04a0"/>
      </w:tblPr>
      <w:tblGrid>
        <w:gridCol w:w="9405"/>
      </w:tblGrid>
      <w:tr>
        <w:trPr/>
        <w:tc>
          <w:tcPr>
            <w:tcW w:w="9405"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405"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(номер и дата выдачи)</w:t>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5) а</w:t>
      </w:r>
      <w:r>
        <w:rPr>
          <w:rFonts w:ascii="Times New Roman" w:hAnsi="Times New Roman"/>
          <w:color w:val="000000"/>
          <w:sz w:val="24"/>
          <w:szCs w:val="24"/>
        </w:rPr>
        <w:t>кт, подтверждающий соответствие параметров построенного, реконструированного объекта капитального строительства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и подписанный лицом, осуществляющим строительство (лицом, осуществляющим строительство, и застройщиком или техническим заказчиком в случае осуществления строительства, реконструкции на основании договора строительного подряда, а также лицом, осуществляющим строительный контроль, в случае осуществления строительного контроля на основании договора);</w:t>
      </w:r>
    </w:p>
    <w:tbl>
      <w:tblPr>
        <w:tblW w:w="9405" w:type="dxa"/>
        <w:jc w:val="left"/>
        <w:tblInd w:w="157" w:type="dxa"/>
        <w:tblCellMar>
          <w:top w:w="0" w:type="dxa"/>
          <w:left w:w="108" w:type="dxa"/>
          <w:bottom w:w="0" w:type="dxa"/>
          <w:right w:w="108" w:type="dxa"/>
        </w:tblCellMar>
        <w:tblLook w:val="04a0"/>
      </w:tblPr>
      <w:tblGrid>
        <w:gridCol w:w="9405"/>
      </w:tblGrid>
      <w:tr>
        <w:trPr/>
        <w:tc>
          <w:tcPr>
            <w:tcW w:w="9405"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405"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(дата выдачи, наименование организации, выдавшей справку)</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6</w:t>
      </w:r>
      <w:r>
        <w:rPr>
          <w:rFonts w:ascii="Times New Roman" w:hAnsi="Times New Roman"/>
          <w:color w:val="000000"/>
          <w:sz w:val="24"/>
          <w:szCs w:val="24"/>
        </w:rPr>
        <w:t>) документы, подтверждающие соответствие построенного, реконструированного, отремонтированного объекта капитального строительства техническим условиям и подписанные представителями организаций, осуществляющих эксплуатацию сетей инженерно-технического обеспечения (при их наличии)</w:t>
      </w:r>
    </w:p>
    <w:tbl>
      <w:tblPr>
        <w:tblW w:w="9345" w:type="dxa"/>
        <w:jc w:val="left"/>
        <w:tblInd w:w="187" w:type="dxa"/>
        <w:tblCellMar>
          <w:top w:w="0" w:type="dxa"/>
          <w:left w:w="108" w:type="dxa"/>
          <w:bottom w:w="0" w:type="dxa"/>
          <w:right w:w="108" w:type="dxa"/>
        </w:tblCellMar>
        <w:tblLook w:val="04a0"/>
      </w:tblPr>
      <w:tblGrid>
        <w:gridCol w:w="9345"/>
      </w:tblGrid>
      <w:tr>
        <w:trPr/>
        <w:tc>
          <w:tcPr>
            <w:tcW w:w="9345"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345"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(заключения организаций, осуществляющих эксплуатацию сетей)</w:t>
      </w:r>
    </w:p>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t xml:space="preserve">7) схема, отображающая расположение построенного, реконструированного, отремонтированного объекта капитального строительства, расположение сетей инженерно-технического обеспечения в границах земельного участка и планировочную организацию земельного участка и подписанная лицом, осуществляющим строительство (лицом, осуществляющим строительство, и застройщиком или заказчиком в случае осуществления строительства, реконструкции, капитального ремонта на основании договора) </w:t>
      </w:r>
    </w:p>
    <w:tbl>
      <w:tblPr>
        <w:tblW w:w="9360" w:type="dxa"/>
        <w:jc w:val="left"/>
        <w:tblInd w:w="202" w:type="dxa"/>
        <w:tblCellMar>
          <w:top w:w="0" w:type="dxa"/>
          <w:left w:w="108" w:type="dxa"/>
          <w:bottom w:w="0" w:type="dxa"/>
          <w:right w:w="108" w:type="dxa"/>
        </w:tblCellMar>
        <w:tblLook w:val="04a0"/>
      </w:tblPr>
      <w:tblGrid>
        <w:gridCol w:w="9360"/>
      </w:tblGrid>
      <w:tr>
        <w:trPr/>
        <w:tc>
          <w:tcPr>
            <w:tcW w:w="9360"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360"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center"/>
        <w:rPr>
          <w:rFonts w:ascii="Times New Roman" w:hAnsi="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 xml:space="preserve">(исполнительная съемка, исполнительные схемы инженерных сетей) </w:t>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 xml:space="preserve">8) заключение органа государственного строительного надзора (в случае, если предусмотрено осуществление государственного строительного надзора) о соответствии построенного, реконструированного, отремонтированного объекта капитального строительства требованиям технических регламентов и проектной документации, 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 заключение государственного экологического контроля в случаях, предусмотренных частью 7 статьи 54 </w:t>
      </w:r>
      <w:r>
        <w:rPr>
          <w:rFonts w:ascii="Times New Roman" w:hAnsi="Times New Roman"/>
          <w:color w:val="000000"/>
          <w:sz w:val="24"/>
          <w:szCs w:val="24"/>
        </w:rPr>
        <w:t>Градостроительного кодекса РФ</w:t>
      </w:r>
    </w:p>
    <w:tbl>
      <w:tblPr>
        <w:tblW w:w="9360" w:type="dxa"/>
        <w:jc w:val="left"/>
        <w:tblInd w:w="142" w:type="dxa"/>
        <w:tblCellMar>
          <w:top w:w="0" w:type="dxa"/>
          <w:left w:w="108" w:type="dxa"/>
          <w:bottom w:w="0" w:type="dxa"/>
          <w:right w:w="108" w:type="dxa"/>
        </w:tblCellMar>
        <w:tblLook w:val="04a0"/>
      </w:tblPr>
      <w:tblGrid>
        <w:gridCol w:w="9360"/>
      </w:tblGrid>
      <w:tr>
        <w:trPr/>
        <w:tc>
          <w:tcPr>
            <w:tcW w:w="9360"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360"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9) документ, подтверждающий заключение договора обязательного страхования гражданской ответственности владельца опасного объекта за причинение вреда в результате аварии на опасном объекте в соответствии с законодательством</w:t>
      </w:r>
      <w:r>
        <w:rPr>
          <w:rFonts w:ascii="Times New Roman" w:hAnsi="Times New Roman"/>
          <w:color w:val="000000"/>
          <w:sz w:val="24"/>
          <w:szCs w:val="24"/>
        </w:rPr>
        <w:t xml:space="preserve"> Российской Федерации об обязательном страховании гражданской ответственности владельца опасного объекта за причинение вреда в результате аварии на опасном объекте;</w:t>
      </w:r>
    </w:p>
    <w:tbl>
      <w:tblPr>
        <w:tblW w:w="9405" w:type="dxa"/>
        <w:jc w:val="left"/>
        <w:tblInd w:w="157" w:type="dxa"/>
        <w:tblCellMar>
          <w:top w:w="0" w:type="dxa"/>
          <w:left w:w="108" w:type="dxa"/>
          <w:bottom w:w="0" w:type="dxa"/>
          <w:right w:w="108" w:type="dxa"/>
        </w:tblCellMar>
        <w:tblLook w:val="04a0"/>
      </w:tblPr>
      <w:tblGrid>
        <w:gridCol w:w="9405"/>
      </w:tblGrid>
      <w:tr>
        <w:trPr/>
        <w:tc>
          <w:tcPr>
            <w:tcW w:w="9405"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405"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Normal"/>
        <w:jc w:val="both"/>
        <w:rPr>
          <w:rFonts w:eastAsia="Calibri"/>
          <w:color w:val="000000"/>
          <w:sz w:val="24"/>
          <w:szCs w:val="24"/>
          <w:lang w:eastAsia="en-US"/>
        </w:rPr>
      </w:pPr>
      <w:r>
        <w:rPr>
          <w:rFonts w:eastAsia="Calibri"/>
          <w:color w:val="000000"/>
          <w:sz w:val="24"/>
          <w:szCs w:val="24"/>
          <w:lang w:eastAsia="en-US"/>
        </w:rPr>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11) акт приемки выполненных работ по сохранению объекта культурного наследия, утвержденный соответствующим органом охраны объектов культурного наследия, определенным Федеральным законом от 25 июня 2002 года N 73-ФЗ "Об объектах культурного наследия (памятниках истории и культуры) народов Российской Федерации", при проведении реставрации, консервации, ремонта этого объекта и его приспособления для современного использования;</w:t>
      </w:r>
    </w:p>
    <w:tbl>
      <w:tblPr>
        <w:tblW w:w="9360" w:type="dxa"/>
        <w:jc w:val="left"/>
        <w:tblInd w:w="157" w:type="dxa"/>
        <w:tblCellMar>
          <w:top w:w="0" w:type="dxa"/>
          <w:left w:w="108" w:type="dxa"/>
          <w:bottom w:w="0" w:type="dxa"/>
          <w:right w:w="108" w:type="dxa"/>
        </w:tblCellMar>
        <w:tblLook w:val="04a0"/>
      </w:tblPr>
      <w:tblGrid>
        <w:gridCol w:w="9360"/>
      </w:tblGrid>
      <w:tr>
        <w:trPr/>
        <w:tc>
          <w:tcPr>
            <w:tcW w:w="9360"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360"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nformat"/>
        <w:jc w:val="both"/>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both"/>
        <w:rPr>
          <w:rFonts w:ascii="Times New Roman" w:hAnsi="Times New Roman"/>
          <w:color w:val="000000"/>
          <w:sz w:val="24"/>
          <w:szCs w:val="24"/>
        </w:rPr>
      </w:pPr>
      <w:r>
        <w:rPr>
          <w:rFonts w:cs="Times New Roman" w:ascii="Times New Roman" w:hAnsi="Times New Roman"/>
          <w:color w:val="000000"/>
          <w:sz w:val="24"/>
          <w:szCs w:val="24"/>
        </w:rPr>
        <w:t>12) технический план объекта капитального строительства, подготовленный в соответствии с Федеральным законом</w:t>
      </w:r>
      <w:r>
        <w:rPr>
          <w:rFonts w:ascii="Times New Roman" w:hAnsi="Times New Roman"/>
          <w:color w:val="000000"/>
          <w:sz w:val="24"/>
          <w:szCs w:val="24"/>
        </w:rPr>
        <w:t xml:space="preserve"> от 13 июля 2015 года N 218-ФЗ "О государственной регистрации недвижимости"</w:t>
      </w:r>
    </w:p>
    <w:tbl>
      <w:tblPr>
        <w:tblW w:w="9360" w:type="dxa"/>
        <w:jc w:val="left"/>
        <w:tblInd w:w="157" w:type="dxa"/>
        <w:tblCellMar>
          <w:top w:w="0" w:type="dxa"/>
          <w:left w:w="108" w:type="dxa"/>
          <w:bottom w:w="0" w:type="dxa"/>
          <w:right w:w="108" w:type="dxa"/>
        </w:tblCellMar>
        <w:tblLook w:val="04a0"/>
      </w:tblPr>
      <w:tblGrid>
        <w:gridCol w:w="9360"/>
      </w:tblGrid>
      <w:tr>
        <w:trPr/>
        <w:tc>
          <w:tcPr>
            <w:tcW w:w="9360" w:type="dxa"/>
            <w:tcBorders>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r>
        <w:trPr/>
        <w:tc>
          <w:tcPr>
            <w:tcW w:w="9360" w:type="dxa"/>
            <w:tcBorders>
              <w:top w:val="single" w:sz="4" w:space="0" w:color="000000"/>
              <w:bottom w:val="single" w:sz="4" w:space="0" w:color="000000"/>
            </w:tcBorders>
            <w:shd w:color="auto" w:fill="auto" w:val="clear"/>
          </w:tcPr>
          <w:p>
            <w:pPr>
              <w:pStyle w:val="ConsPlusNonformat"/>
              <w:snapToGrid w:val="false"/>
              <w:jc w:val="both"/>
              <w:rPr>
                <w:rFonts w:ascii="Times New Roman" w:hAnsi="Times New Roman" w:cs="Times New Roman"/>
                <w:color w:val="000000"/>
                <w:sz w:val="24"/>
                <w:szCs w:val="24"/>
              </w:rPr>
            </w:pPr>
            <w:r>
              <w:rPr>
                <w:rFonts w:cs="Times New Roman" w:ascii="Times New Roman" w:hAnsi="Times New Roman"/>
                <w:color w:val="000000"/>
                <w:sz w:val="24"/>
                <w:szCs w:val="24"/>
              </w:rPr>
            </w:r>
          </w:p>
        </w:tc>
      </w:tr>
    </w:tbl>
    <w:p>
      <w:pPr>
        <w:pStyle w:val="ConsPlusNormal"/>
        <w:ind w:firstLine="709"/>
        <w:jc w:val="both"/>
        <w:rPr>
          <w:rFonts w:ascii="Times New Roman" w:hAnsi="Times New Roman" w:eastAsia="Calibri" w:cs="Times New Roman"/>
          <w:color w:val="000000"/>
          <w:sz w:val="24"/>
          <w:szCs w:val="24"/>
          <w:lang w:eastAsia="en-US"/>
        </w:rPr>
      </w:pPr>
      <w:r>
        <w:rPr>
          <w:rFonts w:eastAsia="Calibri" w:cs="Times New Roman" w:ascii="Times New Roman" w:hAnsi="Times New Roman"/>
          <w:color w:val="000000"/>
          <w:sz w:val="24"/>
          <w:szCs w:val="24"/>
          <w:lang w:eastAsia="en-US"/>
        </w:rPr>
      </w:r>
    </w:p>
    <w:p>
      <w:pPr>
        <w:pStyle w:val="ConsPlusNormal"/>
        <w:ind w:firstLine="709"/>
        <w:jc w:val="both"/>
        <w:rPr>
          <w:rFonts w:ascii="Times New Roman" w:hAnsi="Times New Roman"/>
          <w:color w:val="000000"/>
          <w:sz w:val="24"/>
          <w:szCs w:val="24"/>
        </w:rPr>
      </w:pPr>
      <w:r>
        <w:rPr>
          <w:rFonts w:eastAsia="Calibri" w:cs="Times New Roman" w:ascii="Times New Roman" w:hAnsi="Times New Roman"/>
          <w:color w:val="000000"/>
          <w:sz w:val="24"/>
          <w:szCs w:val="24"/>
          <w:lang w:eastAsia="en-US"/>
        </w:rPr>
        <w:t>ПРИМЕЧАНИЕ: Документы (их копии или сведения, содержащиеся в них), указанные в подпунктах 1, 2, 3, 8 заявления, запрашиваются ОКС в рамках межведомственного взаимодействия, в государственных органах, органах местного самоуправления и подведомственных государственным органам или органам местного самоуправления организациях, в распоряжении которых находятся указанные документы, если заявитель не представил указанные документы самостоятельно. Документы, указанные в подпунктах 1, 4, 5, 6, 7 направляются заявителем самостоятельно, если указанные документы (их копии или сведения, содержащиеся в них) отсутствуют в распоряжении органов государственной власти, органов местного самоуправления либо подведомственных государственным органам или органам местного самоуправления организаций</w:t>
      </w:r>
    </w:p>
    <w:p>
      <w:pPr>
        <w:pStyle w:val="ConsPlusNormal"/>
        <w:ind w:firstLine="709"/>
        <w:jc w:val="both"/>
        <w:rPr>
          <w:rFonts w:ascii="Times New Roman" w:hAnsi="Times New Roman" w:eastAsia="Calibri" w:cs="Times New Roman"/>
          <w:color w:val="000000"/>
          <w:sz w:val="24"/>
          <w:szCs w:val="24"/>
          <w:lang w:eastAsia="en-US"/>
        </w:rPr>
      </w:pPr>
      <w:r>
        <w:rPr>
          <w:rFonts w:eastAsia="Calibri" w:cs="Times New Roman" w:ascii="Times New Roman" w:hAnsi="Times New Roman"/>
          <w:color w:val="000000"/>
          <w:sz w:val="24"/>
          <w:szCs w:val="24"/>
          <w:lang w:eastAsia="en-US"/>
        </w:rPr>
      </w:r>
    </w:p>
    <w:p>
      <w:pPr>
        <w:pStyle w:val="Normal"/>
        <w:jc w:val="both"/>
        <w:rPr>
          <w:rFonts w:eastAsia="Calibri"/>
          <w:color w:val="000000"/>
          <w:sz w:val="24"/>
          <w:szCs w:val="24"/>
          <w:lang w:eastAsia="en-US"/>
        </w:rPr>
      </w:pPr>
      <w:r>
        <w:rPr>
          <w:rFonts w:eastAsia="Calibri"/>
          <w:color w:val="000000"/>
          <w:sz w:val="24"/>
          <w:szCs w:val="24"/>
          <w:lang w:eastAsia="en-US"/>
        </w:rPr>
        <w:t>В соответствии с Федеральным законом от 27.07.2006 N 152-ФЗ "О персональных</w:t>
      </w:r>
    </w:p>
    <w:p>
      <w:pPr>
        <w:pStyle w:val="Normal"/>
        <w:jc w:val="both"/>
        <w:rPr>
          <w:rFonts w:eastAsia="Calibri"/>
          <w:color w:val="000000"/>
          <w:sz w:val="24"/>
          <w:szCs w:val="24"/>
          <w:lang w:eastAsia="en-US"/>
        </w:rPr>
      </w:pPr>
      <w:r>
        <w:rPr>
          <w:rFonts w:eastAsia="Calibri"/>
          <w:color w:val="000000"/>
          <w:sz w:val="24"/>
          <w:szCs w:val="24"/>
          <w:lang w:eastAsia="en-US"/>
        </w:rPr>
        <w:t>данных" ___________________________________________________________________</w:t>
      </w:r>
    </w:p>
    <w:p>
      <w:pPr>
        <w:pStyle w:val="Normal"/>
        <w:tabs>
          <w:tab w:val="clear" w:pos="709"/>
          <w:tab w:val="left" w:pos="4470" w:leader="none"/>
        </w:tabs>
        <w:jc w:val="both"/>
        <w:rPr>
          <w:color w:val="000000"/>
          <w:sz w:val="24"/>
          <w:szCs w:val="24"/>
          <w:lang w:eastAsia="en-US"/>
        </w:rPr>
      </w:pPr>
      <w:r>
        <w:rPr>
          <w:color w:val="000000"/>
          <w:sz w:val="24"/>
          <w:szCs w:val="24"/>
          <w:lang w:eastAsia="en-US"/>
        </w:rPr>
        <w:t xml:space="preserve"> </w:t>
      </w:r>
      <w:r>
        <w:rPr>
          <w:color w:val="000000"/>
          <w:sz w:val="24"/>
          <w:szCs w:val="24"/>
          <w:lang w:eastAsia="en-US"/>
        </w:rPr>
        <w:tab/>
      </w:r>
      <w:r>
        <w:rPr>
          <w:rFonts w:eastAsia="Calibri"/>
          <w:color w:val="000000"/>
          <w:sz w:val="24"/>
          <w:szCs w:val="24"/>
          <w:lang w:eastAsia="en-US"/>
        </w:rPr>
        <w:t>(ФИО)</w:t>
      </w:r>
    </w:p>
    <w:p>
      <w:pPr>
        <w:pStyle w:val="Normal"/>
        <w:jc w:val="both"/>
        <w:rPr>
          <w:rFonts w:eastAsia="Calibri"/>
          <w:color w:val="000000"/>
          <w:sz w:val="24"/>
          <w:szCs w:val="24"/>
          <w:lang w:eastAsia="en-US"/>
        </w:rPr>
      </w:pPr>
      <w:r>
        <w:rPr>
          <w:rFonts w:eastAsia="Calibri"/>
          <w:color w:val="000000"/>
          <w:sz w:val="24"/>
          <w:szCs w:val="24"/>
          <w:lang w:eastAsia="en-US"/>
        </w:rPr>
        <w:t>даю(ет) свое согласие на обработку, включая сбор, систематизацию,</w:t>
      </w:r>
    </w:p>
    <w:p>
      <w:pPr>
        <w:pStyle w:val="Normal"/>
        <w:jc w:val="both"/>
        <w:rPr>
          <w:rFonts w:eastAsia="Calibri"/>
          <w:color w:val="000000"/>
          <w:sz w:val="24"/>
          <w:szCs w:val="24"/>
          <w:lang w:eastAsia="en-US"/>
        </w:rPr>
      </w:pPr>
      <w:r>
        <w:rPr>
          <w:rFonts w:eastAsia="Calibri"/>
          <w:color w:val="000000"/>
          <w:sz w:val="24"/>
          <w:szCs w:val="24"/>
          <w:lang w:eastAsia="en-US"/>
        </w:rPr>
        <w:t>накопление, хранение, уточнение (обновление/изменение), использование,</w:t>
      </w:r>
    </w:p>
    <w:p>
      <w:pPr>
        <w:pStyle w:val="Normal"/>
        <w:jc w:val="both"/>
        <w:rPr>
          <w:rFonts w:eastAsia="Calibri"/>
          <w:color w:val="000000"/>
          <w:sz w:val="24"/>
          <w:szCs w:val="24"/>
          <w:lang w:eastAsia="en-US"/>
        </w:rPr>
      </w:pPr>
      <w:r>
        <w:rPr>
          <w:rFonts w:eastAsia="Calibri"/>
          <w:color w:val="000000"/>
          <w:sz w:val="24"/>
          <w:szCs w:val="24"/>
          <w:lang w:eastAsia="en-US"/>
        </w:rPr>
        <w:t>распространение, в том числе передачу, обезличивание, блокирование,</w:t>
      </w:r>
    </w:p>
    <w:p>
      <w:pPr>
        <w:pStyle w:val="Normal"/>
        <w:jc w:val="both"/>
        <w:rPr>
          <w:rFonts w:eastAsia="Calibri"/>
          <w:color w:val="000000"/>
          <w:sz w:val="24"/>
          <w:szCs w:val="24"/>
          <w:lang w:eastAsia="en-US"/>
        </w:rPr>
      </w:pPr>
      <w:r>
        <w:rPr>
          <w:rFonts w:eastAsia="Calibri"/>
          <w:color w:val="000000"/>
          <w:sz w:val="24"/>
          <w:szCs w:val="24"/>
          <w:lang w:eastAsia="en-US"/>
        </w:rPr>
        <w:t>уничтожение, моих персональных данных с целью предоставления земельного</w:t>
      </w:r>
    </w:p>
    <w:p>
      <w:pPr>
        <w:pStyle w:val="Normal"/>
        <w:jc w:val="both"/>
        <w:rPr>
          <w:rFonts w:eastAsia="Calibri"/>
          <w:color w:val="000000"/>
          <w:sz w:val="24"/>
          <w:szCs w:val="24"/>
          <w:lang w:eastAsia="en-US"/>
        </w:rPr>
      </w:pPr>
      <w:r>
        <w:rPr>
          <w:rFonts w:eastAsia="Calibri"/>
          <w:color w:val="000000"/>
          <w:sz w:val="24"/>
          <w:szCs w:val="24"/>
          <w:lang w:eastAsia="en-US"/>
        </w:rPr>
        <w:t>участка.</w:t>
      </w:r>
    </w:p>
    <w:p>
      <w:pPr>
        <w:pStyle w:val="Normal"/>
        <w:jc w:val="both"/>
        <w:rPr>
          <w:rFonts w:eastAsia="Calibri"/>
          <w:color w:val="000000"/>
          <w:sz w:val="24"/>
          <w:szCs w:val="24"/>
          <w:lang w:eastAsia="en-US"/>
        </w:rPr>
      </w:pPr>
      <w:r>
        <w:rPr>
          <w:rFonts w:eastAsia="Calibri"/>
          <w:color w:val="000000"/>
          <w:sz w:val="24"/>
          <w:szCs w:val="24"/>
          <w:lang w:eastAsia="en-US"/>
        </w:rPr>
        <w:t>Указанное согласие действует с момента представления данных до исполнения</w:t>
      </w:r>
    </w:p>
    <w:p>
      <w:pPr>
        <w:pStyle w:val="Normal"/>
        <w:jc w:val="both"/>
        <w:rPr>
          <w:rFonts w:eastAsia="Calibri"/>
          <w:color w:val="000000"/>
          <w:sz w:val="24"/>
          <w:szCs w:val="24"/>
          <w:lang w:eastAsia="en-US"/>
        </w:rPr>
      </w:pPr>
      <w:r>
        <w:rPr>
          <w:rFonts w:eastAsia="Calibri"/>
          <w:color w:val="000000"/>
          <w:sz w:val="24"/>
          <w:szCs w:val="24"/>
          <w:lang w:eastAsia="en-US"/>
        </w:rPr>
        <w:t>муниципальной услуги.</w:t>
      </w:r>
    </w:p>
    <w:p>
      <w:pPr>
        <w:pStyle w:val="Normal"/>
        <w:jc w:val="both"/>
        <w:rPr>
          <w:rFonts w:eastAsia="Calibri"/>
          <w:color w:val="000000"/>
          <w:sz w:val="24"/>
          <w:szCs w:val="24"/>
          <w:lang w:eastAsia="en-US"/>
        </w:rPr>
      </w:pPr>
      <w:r>
        <w:rPr>
          <w:rFonts w:eastAsia="Calibri"/>
          <w:color w:val="000000"/>
          <w:sz w:val="24"/>
          <w:szCs w:val="24"/>
          <w:lang w:eastAsia="en-US"/>
        </w:rPr>
      </w:r>
    </w:p>
    <w:p>
      <w:pPr>
        <w:pStyle w:val="Normal"/>
        <w:jc w:val="both"/>
        <w:rPr>
          <w:rFonts w:eastAsia="Calibri"/>
          <w:color w:val="000000"/>
          <w:sz w:val="24"/>
          <w:szCs w:val="24"/>
          <w:lang w:eastAsia="en-US"/>
        </w:rPr>
      </w:pPr>
      <w:r>
        <w:rPr>
          <w:rFonts w:eastAsia="Calibri"/>
          <w:color w:val="000000"/>
          <w:sz w:val="24"/>
          <w:szCs w:val="24"/>
          <w:lang w:eastAsia="en-US"/>
        </w:rPr>
        <w:t>"__" ______ 20__ г. Заявитель(ли) __________________ __________ _____________________</w:t>
      </w:r>
    </w:p>
    <w:p>
      <w:pPr>
        <w:pStyle w:val="Normal"/>
        <w:tabs>
          <w:tab w:val="clear" w:pos="709"/>
          <w:tab w:val="left" w:pos="3975" w:leader="none"/>
          <w:tab w:val="left" w:pos="5895" w:leader="none"/>
        </w:tabs>
        <w:jc w:val="both"/>
        <w:rPr>
          <w:color w:val="000000"/>
          <w:sz w:val="24"/>
          <w:szCs w:val="24"/>
          <w:lang w:eastAsia="en-US"/>
        </w:rPr>
      </w:pPr>
      <w:r>
        <w:rPr>
          <w:rFonts w:eastAsia="Calibri"/>
          <w:color w:val="000000"/>
          <w:sz w:val="24"/>
          <w:szCs w:val="24"/>
          <w:lang w:eastAsia="en-US"/>
        </w:rPr>
        <w:tab/>
      </w:r>
      <w:r>
        <w:rPr>
          <w:color w:val="000000"/>
          <w:sz w:val="24"/>
          <w:szCs w:val="24"/>
          <w:lang w:eastAsia="en-US"/>
        </w:rPr>
        <w:t xml:space="preserve"> </w:t>
      </w:r>
      <w:r>
        <w:rPr>
          <w:rFonts w:eastAsia="Calibri"/>
          <w:color w:val="000000"/>
          <w:sz w:val="24"/>
          <w:szCs w:val="24"/>
          <w:lang w:eastAsia="en-US"/>
        </w:rPr>
        <w:t xml:space="preserve">(ФИО) </w:t>
        <w:tab/>
        <w:t>(подпись) (расшифровка подписи)</w:t>
      </w:r>
    </w:p>
    <w:p>
      <w:pPr>
        <w:pStyle w:val="Normal"/>
        <w:tabs>
          <w:tab w:val="clear" w:pos="709"/>
          <w:tab w:val="left" w:pos="3975" w:leader="none"/>
          <w:tab w:val="left" w:pos="5895" w:leader="none"/>
        </w:tabs>
        <w:jc w:val="both"/>
        <w:rPr>
          <w:rFonts w:eastAsia="Calibri"/>
        </w:rPr>
      </w:pPr>
      <w:r>
        <w:rPr>
          <w:rFonts w:eastAsia="Calibri"/>
        </w:rPr>
      </w:r>
    </w:p>
    <w:p>
      <w:pPr>
        <w:pStyle w:val="Normal"/>
        <w:tabs>
          <w:tab w:val="clear" w:pos="709"/>
          <w:tab w:val="left" w:pos="3510" w:leader="none"/>
        </w:tabs>
        <w:jc w:val="both"/>
        <w:rPr>
          <w:color w:val="000000"/>
          <w:sz w:val="24"/>
          <w:szCs w:val="24"/>
          <w:lang w:eastAsia="en-US"/>
        </w:rPr>
      </w:pPr>
      <w:r>
        <w:rPr>
          <w:rFonts w:eastAsia="Calibri"/>
          <w:color w:val="000000"/>
          <w:sz w:val="24"/>
          <w:szCs w:val="24"/>
          <w:lang w:eastAsia="en-US"/>
        </w:rPr>
        <w:tab/>
        <w:t>__________________ __________ _____________________</w:t>
      </w:r>
    </w:p>
    <w:p>
      <w:pPr>
        <w:pStyle w:val="Normal"/>
        <w:tabs>
          <w:tab w:val="clear" w:pos="709"/>
          <w:tab w:val="left" w:pos="4080" w:leader="none"/>
          <w:tab w:val="left" w:pos="5895" w:leader="none"/>
        </w:tabs>
        <w:jc w:val="both"/>
        <w:rPr>
          <w:color w:val="000000"/>
          <w:sz w:val="24"/>
          <w:szCs w:val="24"/>
          <w:lang w:eastAsia="en-US"/>
        </w:rPr>
      </w:pPr>
      <w:r>
        <w:rPr>
          <w:rFonts w:eastAsia="Calibri"/>
          <w:color w:val="000000"/>
          <w:sz w:val="24"/>
          <w:szCs w:val="24"/>
          <w:lang w:eastAsia="en-US"/>
        </w:rPr>
        <w:t>М.П.</w:t>
        <w:tab/>
      </w:r>
      <w:r>
        <w:rPr>
          <w:color w:val="000000"/>
          <w:sz w:val="24"/>
          <w:szCs w:val="24"/>
          <w:lang w:eastAsia="en-US"/>
        </w:rPr>
        <w:t xml:space="preserve"> </w:t>
      </w:r>
      <w:r>
        <w:rPr>
          <w:rFonts w:eastAsia="Calibri"/>
          <w:color w:val="000000"/>
          <w:sz w:val="24"/>
          <w:szCs w:val="24"/>
          <w:lang w:eastAsia="en-US"/>
        </w:rPr>
        <w:t>(ФИО)</w:t>
        <w:tab/>
        <w:t>(подпись) (расшифровка подписи)</w:t>
      </w:r>
    </w:p>
    <w:p>
      <w:pPr>
        <w:pStyle w:val="Normal"/>
        <w:jc w:val="both"/>
        <w:rPr>
          <w:rFonts w:eastAsia="Calibri"/>
        </w:rPr>
      </w:pPr>
      <w:r>
        <w:rPr>
          <w:rFonts w:eastAsia="Calibri"/>
        </w:rPr>
      </w:r>
    </w:p>
    <w:p>
      <w:pPr>
        <w:pStyle w:val="Normal"/>
        <w:tabs>
          <w:tab w:val="clear" w:pos="709"/>
          <w:tab w:val="left" w:pos="3510" w:leader="none"/>
        </w:tabs>
        <w:jc w:val="both"/>
        <w:rPr>
          <w:color w:val="000000"/>
          <w:sz w:val="24"/>
          <w:szCs w:val="24"/>
          <w:lang w:eastAsia="en-US"/>
        </w:rPr>
      </w:pPr>
      <w:r>
        <w:rPr>
          <w:rFonts w:eastAsia="Calibri"/>
          <w:color w:val="000000"/>
          <w:sz w:val="24"/>
          <w:szCs w:val="24"/>
          <w:lang w:eastAsia="en-US"/>
        </w:rPr>
        <w:tab/>
        <w:t>__________________ __________ _____________________</w:t>
      </w:r>
    </w:p>
    <w:p>
      <w:pPr>
        <w:pStyle w:val="Normal"/>
        <w:tabs>
          <w:tab w:val="clear" w:pos="709"/>
          <w:tab w:val="left" w:pos="4080" w:leader="none"/>
          <w:tab w:val="left" w:pos="5895" w:leader="none"/>
        </w:tabs>
        <w:jc w:val="both"/>
        <w:rPr>
          <w:color w:val="000000"/>
          <w:sz w:val="24"/>
          <w:szCs w:val="24"/>
          <w:lang w:eastAsia="en-US"/>
        </w:rPr>
      </w:pPr>
      <w:r>
        <w:rPr>
          <w:rFonts w:eastAsia="Calibri"/>
          <w:color w:val="000000"/>
          <w:sz w:val="24"/>
          <w:szCs w:val="24"/>
          <w:lang w:eastAsia="en-US"/>
        </w:rPr>
        <w:tab/>
      </w:r>
      <w:r>
        <w:rPr>
          <w:color w:val="000000"/>
          <w:sz w:val="24"/>
          <w:szCs w:val="24"/>
          <w:lang w:eastAsia="en-US"/>
        </w:rPr>
        <w:t xml:space="preserve"> </w:t>
      </w:r>
      <w:r>
        <w:rPr>
          <w:rFonts w:eastAsia="Calibri"/>
          <w:color w:val="000000"/>
          <w:sz w:val="24"/>
          <w:szCs w:val="24"/>
          <w:lang w:eastAsia="en-US"/>
        </w:rPr>
        <w:t>(ФИО)</w:t>
        <w:tab/>
        <w:t>(подпись) (расшифровка подписи)</w:t>
      </w:r>
    </w:p>
    <w:p>
      <w:pPr>
        <w:pStyle w:val="Normal"/>
        <w:tabs>
          <w:tab w:val="clear" w:pos="709"/>
          <w:tab w:val="left" w:pos="3510" w:leader="none"/>
        </w:tabs>
        <w:jc w:val="both"/>
        <w:rPr>
          <w:color w:val="000000"/>
          <w:sz w:val="24"/>
          <w:szCs w:val="24"/>
          <w:lang w:eastAsia="en-US"/>
        </w:rPr>
      </w:pPr>
      <w:r>
        <w:rPr>
          <w:color w:val="000000"/>
          <w:sz w:val="24"/>
          <w:szCs w:val="24"/>
          <w:lang w:eastAsia="en-US"/>
        </w:rPr>
        <w:t xml:space="preserve"> </w:t>
      </w:r>
      <w:r>
        <w:rPr>
          <w:rFonts w:eastAsia="Calibri"/>
          <w:color w:val="000000"/>
          <w:sz w:val="24"/>
          <w:szCs w:val="24"/>
          <w:lang w:eastAsia="en-US"/>
        </w:rPr>
        <w:t xml:space="preserve">Представитель </w:t>
        <w:tab/>
        <w:tab/>
        <w:t>__________________ __________ _____________________</w:t>
      </w:r>
    </w:p>
    <w:p>
      <w:pPr>
        <w:pStyle w:val="Normal"/>
        <w:tabs>
          <w:tab w:val="clear" w:pos="709"/>
          <w:tab w:val="left" w:pos="3795" w:leader="none"/>
          <w:tab w:val="left" w:pos="5895" w:leader="none"/>
        </w:tabs>
        <w:jc w:val="both"/>
        <w:rPr>
          <w:color w:val="000000"/>
          <w:sz w:val="24"/>
          <w:szCs w:val="24"/>
          <w:lang w:eastAsia="en-US"/>
        </w:rPr>
      </w:pPr>
      <w:r>
        <w:rPr>
          <w:color w:val="000000"/>
          <w:sz w:val="24"/>
          <w:szCs w:val="24"/>
          <w:lang w:eastAsia="en-US"/>
        </w:rPr>
        <w:tab/>
      </w:r>
      <w:r>
        <w:rPr>
          <w:rFonts w:eastAsia="Calibri"/>
          <w:color w:val="000000"/>
          <w:sz w:val="24"/>
          <w:szCs w:val="24"/>
          <w:lang w:eastAsia="en-US"/>
        </w:rPr>
        <w:t>(</w:t>
      </w:r>
      <w:r>
        <w:rPr>
          <w:rFonts w:eastAsia="Calibri"/>
          <w:color w:val="000000"/>
          <w:sz w:val="24"/>
          <w:szCs w:val="24"/>
          <w:lang w:val="en-US" w:eastAsia="en-US"/>
        </w:rPr>
        <w:t xml:space="preserve">N </w:t>
      </w:r>
      <w:r>
        <w:rPr>
          <w:rFonts w:eastAsia="Calibri"/>
          <w:color w:val="000000"/>
          <w:sz w:val="24"/>
          <w:szCs w:val="24"/>
          <w:lang w:eastAsia="en-US"/>
        </w:rPr>
        <w:t>доверенности)</w:t>
        <w:tab/>
        <w:t>(подпись) (расшифровка подписи)</w:t>
      </w:r>
      <w:r>
        <w:br w:type="page"/>
      </w:r>
    </w:p>
    <w:p>
      <w:pPr>
        <w:pStyle w:val="Normal"/>
        <w:numPr>
          <w:ilvl w:val="0"/>
          <w:numId w:val="0"/>
        </w:numPr>
        <w:ind w:left="4536" w:hanging="0"/>
        <w:jc w:val="center"/>
        <w:outlineLvl w:val="0"/>
        <w:rPr>
          <w:color w:val="000000"/>
          <w:sz w:val="24"/>
          <w:szCs w:val="24"/>
        </w:rPr>
      </w:pPr>
      <w:r>
        <w:rPr>
          <w:rFonts w:eastAsia="Calibri"/>
          <w:color w:val="000000"/>
          <w:sz w:val="24"/>
          <w:szCs w:val="24"/>
          <w:lang w:eastAsia="en-US"/>
        </w:rPr>
        <w:t>Приложение № 2</w:t>
      </w:r>
    </w:p>
    <w:p>
      <w:pPr>
        <w:pStyle w:val="Normal"/>
        <w:numPr>
          <w:ilvl w:val="0"/>
          <w:numId w:val="0"/>
        </w:numPr>
        <w:ind w:left="4536" w:hanging="0"/>
        <w:jc w:val="center"/>
        <w:outlineLvl w:val="0"/>
        <w:rPr>
          <w:rFonts w:eastAsia="Calibri"/>
          <w:color w:val="000000"/>
          <w:sz w:val="24"/>
          <w:szCs w:val="24"/>
          <w:lang w:eastAsia="en-US"/>
        </w:rPr>
      </w:pPr>
      <w:r>
        <w:rPr>
          <w:rFonts w:eastAsia="Calibri"/>
          <w:color w:val="000000"/>
          <w:sz w:val="24"/>
          <w:szCs w:val="24"/>
          <w:lang w:eastAsia="en-US"/>
        </w:rPr>
        <w:t>к административному регламенту</w:t>
      </w:r>
    </w:p>
    <w:p>
      <w:pPr>
        <w:pStyle w:val="Normal"/>
        <w:numPr>
          <w:ilvl w:val="0"/>
          <w:numId w:val="0"/>
        </w:numPr>
        <w:ind w:left="4536" w:hanging="0"/>
        <w:jc w:val="center"/>
        <w:outlineLvl w:val="0"/>
        <w:rPr>
          <w:rFonts w:eastAsia="Calibri"/>
          <w:color w:val="000000"/>
          <w:sz w:val="24"/>
          <w:szCs w:val="24"/>
          <w:lang w:eastAsia="en-US"/>
        </w:rPr>
      </w:pPr>
      <w:r>
        <w:rPr>
          <w:rFonts w:eastAsia="Calibri"/>
          <w:color w:val="000000"/>
          <w:sz w:val="24"/>
          <w:szCs w:val="24"/>
          <w:lang w:eastAsia="en-US"/>
        </w:rPr>
        <w:t>по предоставлению муниципальной услуги</w:t>
      </w:r>
    </w:p>
    <w:p>
      <w:pPr>
        <w:pStyle w:val="Normal"/>
        <w:numPr>
          <w:ilvl w:val="0"/>
          <w:numId w:val="0"/>
        </w:numPr>
        <w:ind w:left="4536" w:hanging="0"/>
        <w:jc w:val="center"/>
        <w:outlineLvl w:val="0"/>
        <w:rPr>
          <w:rFonts w:eastAsia="Calibri"/>
          <w:color w:val="000000"/>
          <w:sz w:val="24"/>
          <w:szCs w:val="24"/>
          <w:lang w:eastAsia="en-US"/>
        </w:rPr>
      </w:pPr>
      <w:r>
        <w:rPr>
          <w:rFonts w:eastAsia="Calibri"/>
          <w:color w:val="000000"/>
          <w:sz w:val="24"/>
          <w:szCs w:val="24"/>
          <w:lang w:eastAsia="en-US"/>
        </w:rPr>
        <w:t>«Подготовка и выдача разрешений на ввод объектов в эксплуатацию на территории Шарангского муниципального района Нижегородской области»</w:t>
      </w:r>
    </w:p>
    <w:p>
      <w:pPr>
        <w:pStyle w:val="Normal"/>
        <w:jc w:val="center"/>
        <w:rPr>
          <w:rFonts w:eastAsia="Calibri"/>
          <w:b/>
          <w:b/>
          <w:bCs/>
          <w:color w:val="000000"/>
          <w:sz w:val="24"/>
          <w:szCs w:val="24"/>
          <w:lang w:eastAsia="en-US"/>
        </w:rPr>
      </w:pPr>
      <w:r>
        <w:rPr>
          <w:rFonts w:eastAsia="Calibri"/>
          <w:b/>
          <w:bCs/>
          <w:color w:val="000000"/>
          <w:sz w:val="24"/>
          <w:szCs w:val="24"/>
          <w:lang w:eastAsia="en-US"/>
        </w:rPr>
      </w:r>
    </w:p>
    <w:p>
      <w:pPr>
        <w:pStyle w:val="Normal"/>
        <w:jc w:val="center"/>
        <w:rPr>
          <w:b/>
          <w:b/>
          <w:bCs/>
          <w:color w:val="000000"/>
          <w:sz w:val="24"/>
          <w:szCs w:val="24"/>
        </w:rPr>
      </w:pPr>
      <w:r>
        <w:rPr>
          <w:b/>
          <w:bCs/>
          <w:color w:val="000000"/>
          <w:sz w:val="24"/>
          <w:szCs w:val="24"/>
        </w:rPr>
        <w:t>БЛОК-СХЕМА</w:t>
      </w:r>
    </w:p>
    <w:p>
      <w:pPr>
        <w:pStyle w:val="Normal"/>
        <w:jc w:val="center"/>
        <w:rPr>
          <w:b/>
          <w:b/>
          <w:bCs/>
          <w:color w:val="000000"/>
          <w:sz w:val="24"/>
          <w:szCs w:val="24"/>
        </w:rPr>
      </w:pPr>
      <w:r>
        <w:rPr>
          <w:b/>
          <w:bCs/>
          <w:color w:val="000000"/>
          <w:sz w:val="24"/>
          <w:szCs w:val="24"/>
        </w:rPr>
        <w:t>ПРЕДОСТАВЛЕНИЯ МУНИЦИПАЛЬНОЙ УСЛУГИ</w:t>
      </w:r>
    </w:p>
    <w:p>
      <w:pPr>
        <w:pStyle w:val="Normal"/>
        <w:rPr>
          <w:b/>
          <w:b/>
          <w:bCs/>
          <w:color w:val="000000"/>
          <w:sz w:val="24"/>
          <w:szCs w:val="24"/>
        </w:rPr>
      </w:pPr>
      <w:r>
        <w:rPr>
          <w:b/>
          <w:bCs/>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r>
        <mc:AlternateContent>
          <mc:Choice Requires="wps">
            <w:drawing>
              <wp:anchor behindDoc="0" distT="72390" distB="72390" distL="114935" distR="114935" simplePos="0" locked="0" layoutInCell="1" allowOverlap="1" relativeHeight="3">
                <wp:simplePos x="0" y="0"/>
                <wp:positionH relativeFrom="column">
                  <wp:posOffset>57150</wp:posOffset>
                </wp:positionH>
                <wp:positionV relativeFrom="paragraph">
                  <wp:posOffset>126365</wp:posOffset>
                </wp:positionV>
                <wp:extent cx="2780665" cy="1351915"/>
                <wp:effectExtent l="0" t="0" r="0" b="0"/>
                <wp:wrapNone/>
                <wp:docPr id="3" name=""/>
                <a:graphic xmlns:a="http://schemas.openxmlformats.org/drawingml/2006/main">
                  <a:graphicData uri="http://schemas.microsoft.com/office/word/2010/wordprocessingShape">
                    <wps:wsp>
                      <wps:cNvSpPr txBox="1"/>
                      <wps:spPr>
                        <a:xfrm>
                          <a:off x="0" y="0"/>
                          <a:ext cx="2780665" cy="1351915"/>
                        </a:xfrm>
                        <a:prstGeom prst="rect"/>
                        <a:solidFill>
                          <a:srgbClr val="FFFFFF"/>
                        </a:solidFill>
                        <a:ln w="635">
                          <a:solidFill>
                            <a:srgbClr val="000000"/>
                          </a:solidFill>
                        </a:ln>
                      </wps:spPr>
                      <wps:txbx>
                        <w:txbxContent>
                          <w:p>
                            <w:pPr>
                              <w:pStyle w:val="Style22"/>
                              <w:rPr/>
                            </w:pPr>
                            <w:r>
                              <w:rPr>
                                <w:sz w:val="24"/>
                                <w:szCs w:val="24"/>
                              </w:rPr>
                              <w:t>Прием и регистрация заявления или уведомления об окончании строительства (в случае строительства индивидуального жилого дома или садового дома)</w:t>
                            </w:r>
                          </w:p>
                          <w:p>
                            <w:pPr>
                              <w:pStyle w:val="Style22"/>
                              <w:rPr/>
                            </w:pPr>
                            <w:r>
                              <w:rPr>
                                <w:sz w:val="24"/>
                                <w:szCs w:val="24"/>
                              </w:rPr>
                              <w:t xml:space="preserve">в ОКС администрации Шарангского муниципального района </w:t>
                            </w:r>
                          </w:p>
                        </w:txbxContent>
                      </wps:txbx>
                      <wps:bodyPr anchor="t" lIns="91440" tIns="45720" rIns="91440" bIns="45720">
                        <a:noAutofit/>
                      </wps:bodyPr>
                    </wps:wsp>
                  </a:graphicData>
                </a:graphic>
              </wp:anchor>
            </w:drawing>
          </mc:Choice>
          <mc:Fallback>
            <w:pict>
              <v:rect fillcolor="#FFFFFF" strokecolor="#000000" strokeweight="0pt" style="position:absolute;rotation:0;width:218.95pt;height:106.45pt;mso-wrap-distance-left:9.05pt;mso-wrap-distance-right:9.05pt;mso-wrap-distance-top:5.7pt;mso-wrap-distance-bottom:5.7pt;margin-top:9.95pt;mso-position-vertical-relative:text;margin-left:4.5pt;mso-position-horizontal-relative:text">
                <v:textbox>
                  <w:txbxContent>
                    <w:p>
                      <w:pPr>
                        <w:pStyle w:val="Style22"/>
                        <w:rPr/>
                      </w:pPr>
                      <w:r>
                        <w:rPr>
                          <w:sz w:val="24"/>
                          <w:szCs w:val="24"/>
                        </w:rPr>
                        <w:t>Прием и регистрация заявления или уведомления об окончании строительства (в случае строительства индивидуального жилого дома или садового дома)</w:t>
                      </w:r>
                    </w:p>
                    <w:p>
                      <w:pPr>
                        <w:pStyle w:val="Style22"/>
                        <w:rPr/>
                      </w:pPr>
                      <w:r>
                        <w:rPr>
                          <w:sz w:val="24"/>
                          <w:szCs w:val="24"/>
                        </w:rPr>
                        <w:t xml:space="preserve">в ОКС администрации Шарангского муниципального района </w:t>
                      </w:r>
                    </w:p>
                  </w:txbxContent>
                </v:textbox>
              </v:rect>
            </w:pict>
          </mc:Fallback>
        </mc:AlternateContent>
      </w:r>
      <w:r>
        <mc:AlternateContent>
          <mc:Choice Requires="wps">
            <w:drawing>
              <wp:anchor behindDoc="0" distT="72390" distB="72390" distL="114935" distR="114935" simplePos="0" locked="0" layoutInCell="1" allowOverlap="1" relativeHeight="4">
                <wp:simplePos x="0" y="0"/>
                <wp:positionH relativeFrom="column">
                  <wp:posOffset>3295650</wp:posOffset>
                </wp:positionH>
                <wp:positionV relativeFrom="paragraph">
                  <wp:posOffset>116840</wp:posOffset>
                </wp:positionV>
                <wp:extent cx="2780665" cy="1287780"/>
                <wp:effectExtent l="0" t="0" r="0" b="0"/>
                <wp:wrapNone/>
                <wp:docPr id="4" name=""/>
                <a:graphic xmlns:a="http://schemas.openxmlformats.org/drawingml/2006/main">
                  <a:graphicData uri="http://schemas.microsoft.com/office/word/2010/wordprocessingShape">
                    <wps:wsp>
                      <wps:cNvSpPr txBox="1"/>
                      <wps:spPr>
                        <a:xfrm>
                          <a:off x="0" y="0"/>
                          <a:ext cx="2780665" cy="1287780"/>
                        </a:xfrm>
                        <a:prstGeom prst="rect"/>
                        <a:solidFill>
                          <a:srgbClr val="FFFFFF"/>
                        </a:solidFill>
                        <a:ln w="635">
                          <a:solidFill>
                            <a:srgbClr val="000000"/>
                          </a:solidFill>
                        </a:ln>
                      </wps:spPr>
                      <wps:txbx>
                        <w:txbxContent>
                          <w:p>
                            <w:pPr>
                              <w:pStyle w:val="Style22"/>
                              <w:rPr/>
                            </w:pPr>
                            <w:r>
                              <w:rPr>
                                <w:sz w:val="24"/>
                                <w:szCs w:val="24"/>
                              </w:rPr>
                              <w:t xml:space="preserve">Прием и регистрация заявления или уведомления об окончании строительства (в случае строительства индивидуального жилого дома или садового дома) </w:t>
                            </w:r>
                          </w:p>
                          <w:p>
                            <w:pPr>
                              <w:pStyle w:val="Style22"/>
                              <w:rPr/>
                            </w:pPr>
                            <w:r>
                              <w:rPr>
                                <w:sz w:val="24"/>
                                <w:szCs w:val="24"/>
                              </w:rPr>
                              <w:t xml:space="preserve">в МФЦ </w:t>
                            </w:r>
                          </w:p>
                        </w:txbxContent>
                      </wps:txbx>
                      <wps:bodyPr anchor="t" lIns="91440" tIns="45720" rIns="91440" bIns="45720">
                        <a:noAutofit/>
                      </wps:bodyPr>
                    </wps:wsp>
                  </a:graphicData>
                </a:graphic>
              </wp:anchor>
            </w:drawing>
          </mc:Choice>
          <mc:Fallback>
            <w:pict>
              <v:rect fillcolor="#FFFFFF" strokecolor="#000000" strokeweight="0pt" style="position:absolute;rotation:0;width:218.95pt;height:101.4pt;mso-wrap-distance-left:9.05pt;mso-wrap-distance-right:9.05pt;mso-wrap-distance-top:5.7pt;mso-wrap-distance-bottom:5.7pt;margin-top:9.2pt;mso-position-vertical-relative:text;margin-left:259.5pt;mso-position-horizontal-relative:text">
                <v:textbox>
                  <w:txbxContent>
                    <w:p>
                      <w:pPr>
                        <w:pStyle w:val="Style22"/>
                        <w:rPr/>
                      </w:pPr>
                      <w:r>
                        <w:rPr>
                          <w:sz w:val="24"/>
                          <w:szCs w:val="24"/>
                        </w:rPr>
                        <w:t xml:space="preserve">Прием и регистрация заявления или уведомления об окончании строительства (в случае строительства индивидуального жилого дома или садового дома) </w:t>
                      </w:r>
                    </w:p>
                    <w:p>
                      <w:pPr>
                        <w:pStyle w:val="Style22"/>
                        <w:rPr/>
                      </w:pPr>
                      <w:r>
                        <w:rPr>
                          <w:sz w:val="24"/>
                          <w:szCs w:val="24"/>
                        </w:rPr>
                        <w:t xml:space="preserve">в МФЦ </w:t>
                      </w:r>
                    </w:p>
                  </w:txbxContent>
                </v:textbox>
              </v:rect>
            </w:pict>
          </mc:Fallback>
        </mc:AlternateContent>
      </w:r>
    </w:p>
    <w:p>
      <w:pPr>
        <w:pStyle w:val="Normal"/>
        <w:numPr>
          <w:ilvl w:val="0"/>
          <w:numId w:val="0"/>
        </w:numPr>
        <w:ind w:firstLine="540"/>
        <w:jc w:val="both"/>
        <w:outlineLvl w:val="0"/>
        <w:rPr>
          <w:color w:val="000000"/>
          <w:sz w:val="24"/>
          <w:szCs w:val="24"/>
          <w:lang w:eastAsia="ru-RU"/>
        </w:rPr>
      </w:pPr>
      <w:r>
        <w:rPr>
          <w:color w:val="000000"/>
          <w:sz w:val="24"/>
          <w:szCs w:val="24"/>
          <w:lang w:eastAsia="ru-RU"/>
        </w:rPr>
      </w:r>
    </w:p>
    <w:p>
      <w:pPr>
        <w:pStyle w:val="Normal"/>
        <w:numPr>
          <w:ilvl w:val="0"/>
          <w:numId w:val="0"/>
        </w:numPr>
        <w:ind w:firstLine="540"/>
        <w:jc w:val="center"/>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lang w:eastAsia="ru-RU"/>
        </w:rPr>
      </w:pPr>
      <w:r>
        <w:rPr>
          <w:color w:val="000000"/>
          <w:sz w:val="24"/>
          <w:szCs w:val="24"/>
          <w:lang w:eastAsia="ru-RU"/>
        </w:rPr>
        <mc:AlternateContent>
          <mc:Choice Requires="wps">
            <w:drawing>
              <wp:anchor behindDoc="0" distT="0" distB="0" distL="114300" distR="114300" simplePos="0" locked="0" layoutInCell="1" allowOverlap="1" relativeHeight="5">
                <wp:simplePos x="0" y="0"/>
                <wp:positionH relativeFrom="column">
                  <wp:posOffset>1355725</wp:posOffset>
                </wp:positionH>
                <wp:positionV relativeFrom="paragraph">
                  <wp:posOffset>75565</wp:posOffset>
                </wp:positionV>
                <wp:extent cx="76200" cy="328295"/>
                <wp:effectExtent l="0" t="0" r="0" b="0"/>
                <wp:wrapNone/>
                <wp:docPr id="5" name="Фигура1"/>
                <a:graphic xmlns:a="http://schemas.openxmlformats.org/drawingml/2006/main">
                  <a:graphicData uri="http://schemas.microsoft.com/office/word/2010/wordprocessingShape">
                    <wps:wsp>
                      <wps:cNvSpPr/>
                      <wps:spPr>
                        <a:xfrm>
                          <a:off x="0" y="0"/>
                          <a:ext cx="75600" cy="327600"/>
                        </a:xfrm>
                        <a:custGeom>
                          <a:avLst/>
                          <a:gdLst/>
                          <a:ahLst/>
                          <a:rect l="0" t="0" r="r" b="b"/>
                          <a:pathLst>
                            <a:path w="121" h="518">
                              <a:moveTo>
                                <a:pt x="30" y="0"/>
                              </a:moveTo>
                              <a:lnTo>
                                <a:pt x="30" y="387"/>
                              </a:lnTo>
                              <a:lnTo>
                                <a:pt x="0" y="387"/>
                              </a:lnTo>
                              <a:lnTo>
                                <a:pt x="60" y="517"/>
                              </a:lnTo>
                              <a:lnTo>
                                <a:pt x="120" y="387"/>
                              </a:lnTo>
                              <a:lnTo>
                                <a:pt x="90" y="387"/>
                              </a:lnTo>
                              <a:lnTo>
                                <a:pt x="90" y="0"/>
                              </a:lnTo>
                              <a:lnTo>
                                <a:pt x="30"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type id="shapetype_67" coordsize="21600,21600" o:spt="67" adj="10800,10800" path="m0@3l@5@3l@5,l@6,l@6@3l21600@3l10800,21600xe">
                <v:stroke joinstyle="miter"/>
                <v:formulas>
                  <v:f eqn="val 21600"/>
                  <v:f eqn="val #1"/>
                  <v:f eqn="val #0"/>
                  <v:f eqn="sum height 0 @2"/>
                  <v:f eqn="prod 1 @1 2"/>
                  <v:f eqn="sum 10800 0 @4"/>
                  <v:f eqn="sum 10800 @4 0"/>
                  <v:f eqn="prod @5 @2 10800"/>
                  <v:f eqn="sum @3 @7 0"/>
                </v:formulas>
                <v:path gradientshapeok="t" o:connecttype="rect" textboxrect="@5,0,@6,@8"/>
                <v:handles>
                  <v:h position="@5,0"/>
                  <v:h position="0,@3"/>
                </v:handles>
              </v:shapetype>
              <v:shape id="shape_0" ID="Фигура1" fillcolor="#729fcf" stroked="t" style="position:absolute;margin-left:106.75pt;margin-top:5.95pt;width:5.9pt;height:25.75pt" type="shapetype_67">
                <w10:wrap type="none"/>
                <v:fill o:detectmouseclick="t" type="solid" color2="#8d6030"/>
                <v:stroke color="black" joinstyle="miter" endcap="flat"/>
              </v:shape>
            </w:pict>
          </mc:Fallback>
        </mc:AlternateContent>
        <mc:AlternateContent>
          <mc:Choice Requires="wps">
            <w:drawing>
              <wp:anchor behindDoc="0" distT="0" distB="0" distL="114300" distR="114300" simplePos="0" locked="0" layoutInCell="1" allowOverlap="1" relativeHeight="6">
                <wp:simplePos x="0" y="0"/>
                <wp:positionH relativeFrom="column">
                  <wp:posOffset>4651375</wp:posOffset>
                </wp:positionH>
                <wp:positionV relativeFrom="paragraph">
                  <wp:posOffset>1905</wp:posOffset>
                </wp:positionV>
                <wp:extent cx="85725" cy="449580"/>
                <wp:effectExtent l="0" t="0" r="0" b="0"/>
                <wp:wrapNone/>
                <wp:docPr id="6" name="Фигура2"/>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ID="Фигура2" fillcolor="#729fcf" stroked="t" style="position:absolute;margin-left:366.25pt;margin-top:0.15pt;width:6.65pt;height:35.3pt" type="shapetype_67">
                <w10:wrap type="none"/>
                <v:fill o:detectmouseclick="t" type="solid" color2="#8d6030"/>
                <v:stroke color="black" joinstyle="miter" endcap="flat"/>
              </v:shape>
            </w:pict>
          </mc:Fallback>
        </mc:AlternateContent>
        <mc:AlternateContent>
          <mc:Choice Requires="wps">
            <w:drawing>
              <wp:anchor behindDoc="0" distT="0" distB="0" distL="114300" distR="114300" simplePos="0" locked="0" layoutInCell="1" allowOverlap="1" relativeHeight="7">
                <wp:simplePos x="0" y="0"/>
                <wp:positionH relativeFrom="column">
                  <wp:posOffset>4408805</wp:posOffset>
                </wp:positionH>
                <wp:positionV relativeFrom="paragraph">
                  <wp:posOffset>140970</wp:posOffset>
                </wp:positionV>
                <wp:extent cx="1270" cy="1270"/>
                <wp:effectExtent l="0" t="0" r="0" b="0"/>
                <wp:wrapNone/>
                <wp:docPr id="7" name="shape_0"/>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shape_0" stroked="t" style="position:absolute;margin-left:347.15pt;margin-top:11.1pt;width:0pt;height:0pt" type="shapetype_32">
                <w10:wrap type="none"/>
                <v:fill o:detectmouseclick="t" on="false"/>
                <v:stroke color="black" weight="9360" endarrow="block" endarrowwidth="medium" endarrowlength="medium" joinstyle="miter" endcap="flat"/>
              </v:shape>
            </w:pict>
          </mc:Fallback>
        </mc:AlternateContent>
      </w:r>
    </w:p>
    <w:p>
      <w:pPr>
        <w:pStyle w:val="Normal"/>
        <w:numPr>
          <w:ilvl w:val="0"/>
          <w:numId w:val="0"/>
        </w:numPr>
        <w:ind w:firstLine="540"/>
        <w:jc w:val="both"/>
        <w:outlineLvl w:val="0"/>
        <w:rPr>
          <w:color w:val="000000"/>
          <w:sz w:val="24"/>
          <w:szCs w:val="24"/>
          <w:lang w:eastAsia="ru-RU"/>
        </w:rPr>
      </w:pPr>
      <w:r>
        <w:rPr>
          <w:color w:val="000000"/>
          <w:sz w:val="24"/>
          <w:szCs w:val="24"/>
          <w:lang w:eastAsia="ru-RU"/>
        </w:rPr>
        <mc:AlternateContent>
          <mc:Choice Requires="wps">
            <w:drawing>
              <wp:anchor behindDoc="0" distT="0" distB="0" distL="114300" distR="114300" simplePos="0" locked="0" layoutInCell="1" allowOverlap="1" relativeHeight="8">
                <wp:simplePos x="0" y="0"/>
                <wp:positionH relativeFrom="column">
                  <wp:posOffset>979805</wp:posOffset>
                </wp:positionH>
                <wp:positionV relativeFrom="paragraph">
                  <wp:posOffset>30480</wp:posOffset>
                </wp:positionV>
                <wp:extent cx="1270" cy="1270"/>
                <wp:effectExtent l="0" t="0" r="0" b="0"/>
                <wp:wrapNone/>
                <wp:docPr id="8"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77.15pt;margin-top:2.4pt;width:0pt;height:0pt" type="shapetype_32">
                <w10:wrap type="none"/>
                <v:fill o:detectmouseclick="t" on="false"/>
                <v:stroke color="black" weight="9360" endarrow="block" endarrowwidth="medium" endarrowlength="medium" joinstyle="miter" endcap="flat"/>
              </v:shape>
            </w:pict>
          </mc:Fallback>
        </mc:AlternateContent>
      </w:r>
    </w:p>
    <w:p>
      <w:pPr>
        <w:pStyle w:val="Normal"/>
        <w:numPr>
          <w:ilvl w:val="0"/>
          <w:numId w:val="0"/>
        </w:numPr>
        <w:ind w:firstLine="540"/>
        <w:jc w:val="both"/>
        <w:outlineLvl w:val="0"/>
        <w:rPr>
          <w:color w:val="000000"/>
          <w:sz w:val="24"/>
          <w:szCs w:val="24"/>
        </w:rPr>
      </w:pPr>
      <w:r>
        <w:rPr>
          <w:color w:val="000000"/>
          <w:sz w:val="24"/>
          <w:szCs w:val="24"/>
        </w:rPr>
      </w:r>
      <w:r>
        <mc:AlternateContent>
          <mc:Choice Requires="wps">
            <w:drawing>
              <wp:anchor behindDoc="0" distT="72390" distB="72390" distL="114935" distR="114935" simplePos="0" locked="0" layoutInCell="1" allowOverlap="1" relativeHeight="9">
                <wp:simplePos x="0" y="0"/>
                <wp:positionH relativeFrom="column">
                  <wp:posOffset>95250</wp:posOffset>
                </wp:positionH>
                <wp:positionV relativeFrom="paragraph">
                  <wp:posOffset>53340</wp:posOffset>
                </wp:positionV>
                <wp:extent cx="2780665" cy="504190"/>
                <wp:effectExtent l="0" t="0" r="0" b="0"/>
                <wp:wrapNone/>
                <wp:docPr id="9" name=""/>
                <a:graphic xmlns:a="http://schemas.openxmlformats.org/drawingml/2006/main">
                  <a:graphicData uri="http://schemas.microsoft.com/office/word/2010/wordprocessingShape">
                    <wps:wsp>
                      <wps:cNvSpPr txBox="1"/>
                      <wps:spPr>
                        <a:xfrm>
                          <a:off x="0" y="0"/>
                          <a:ext cx="2780665" cy="504190"/>
                        </a:xfrm>
                        <a:prstGeom prst="rect"/>
                        <a:solidFill>
                          <a:srgbClr val="FFFFFF"/>
                        </a:solidFill>
                        <a:ln w="635">
                          <a:solidFill>
                            <a:srgbClr val="000000"/>
                          </a:solidFill>
                        </a:ln>
                      </wps:spPr>
                      <wps:txbx>
                        <w:txbxContent>
                          <w:p>
                            <w:pPr>
                              <w:pStyle w:val="Style22"/>
                              <w:rPr/>
                            </w:pPr>
                            <w:r>
                              <w:rPr>
                                <w:sz w:val="24"/>
                                <w:szCs w:val="24"/>
                              </w:rPr>
                              <w:t xml:space="preserve">Формирование и направление межведомственных запросов </w:t>
                            </w:r>
                          </w:p>
                        </w:txbxContent>
                      </wps:txbx>
                      <wps:bodyPr anchor="t" lIns="91440" tIns="45720" rIns="91440" bIns="45720">
                        <a:noAutofit/>
                      </wps:bodyPr>
                    </wps:wsp>
                  </a:graphicData>
                </a:graphic>
              </wp:anchor>
            </w:drawing>
          </mc:Choice>
          <mc:Fallback>
            <w:pict>
              <v:rect fillcolor="#FFFFFF" strokecolor="#000000" strokeweight="0pt" style="position:absolute;rotation:0;width:218.95pt;height:39.7pt;mso-wrap-distance-left:9.05pt;mso-wrap-distance-right:9.05pt;mso-wrap-distance-top:5.7pt;mso-wrap-distance-bottom:5.7pt;margin-top:4.2pt;mso-position-vertical-relative:text;margin-left:7.5pt;mso-position-horizontal-relative:text">
                <v:textbox>
                  <w:txbxContent>
                    <w:p>
                      <w:pPr>
                        <w:pStyle w:val="Style22"/>
                        <w:rPr/>
                      </w:pPr>
                      <w:r>
                        <w:rPr>
                          <w:sz w:val="24"/>
                          <w:szCs w:val="24"/>
                        </w:rPr>
                        <w:t xml:space="preserve">Формирование и направление межведомственных запросов </w:t>
                      </w:r>
                    </w:p>
                  </w:txbxContent>
                </v:textbox>
              </v:rect>
            </w:pict>
          </mc:Fallback>
        </mc:AlternateContent>
      </w:r>
      <w:r>
        <mc:AlternateContent>
          <mc:Choice Requires="wps">
            <w:drawing>
              <wp:anchor behindDoc="0" distT="72390" distB="72390" distL="114935" distR="114935" simplePos="0" locked="0" layoutInCell="1" allowOverlap="1" relativeHeight="10">
                <wp:simplePos x="0" y="0"/>
                <wp:positionH relativeFrom="column">
                  <wp:posOffset>3295650</wp:posOffset>
                </wp:positionH>
                <wp:positionV relativeFrom="paragraph">
                  <wp:posOffset>100965</wp:posOffset>
                </wp:positionV>
                <wp:extent cx="2780665" cy="504190"/>
                <wp:effectExtent l="0" t="0" r="0" b="0"/>
                <wp:wrapNone/>
                <wp:docPr id="10" name=""/>
                <a:graphic xmlns:a="http://schemas.openxmlformats.org/drawingml/2006/main">
                  <a:graphicData uri="http://schemas.microsoft.com/office/word/2010/wordprocessingShape">
                    <wps:wsp>
                      <wps:cNvSpPr txBox="1"/>
                      <wps:spPr>
                        <a:xfrm>
                          <a:off x="0" y="0"/>
                          <a:ext cx="2780665" cy="504190"/>
                        </a:xfrm>
                        <a:prstGeom prst="rect"/>
                        <a:solidFill>
                          <a:srgbClr val="FFFFFF"/>
                        </a:solidFill>
                        <a:ln w="635">
                          <a:solidFill>
                            <a:srgbClr val="000000"/>
                          </a:solidFill>
                        </a:ln>
                      </wps:spPr>
                      <wps:txbx>
                        <w:txbxContent>
                          <w:p>
                            <w:pPr>
                              <w:pStyle w:val="Style22"/>
                              <w:rPr/>
                            </w:pPr>
                            <w:r>
                              <w:rPr>
                                <w:sz w:val="24"/>
                                <w:szCs w:val="24"/>
                              </w:rPr>
                              <w:t xml:space="preserve">Формирование и направление межведомственных запросов </w:t>
                            </w:r>
                          </w:p>
                        </w:txbxContent>
                      </wps:txbx>
                      <wps:bodyPr anchor="t" lIns="91440" tIns="45720" rIns="91440" bIns="45720">
                        <a:noAutofit/>
                      </wps:bodyPr>
                    </wps:wsp>
                  </a:graphicData>
                </a:graphic>
              </wp:anchor>
            </w:drawing>
          </mc:Choice>
          <mc:Fallback>
            <w:pict>
              <v:rect fillcolor="#FFFFFF" strokecolor="#000000" strokeweight="0pt" style="position:absolute;rotation:0;width:218.95pt;height:39.7pt;mso-wrap-distance-left:9.05pt;mso-wrap-distance-right:9.05pt;mso-wrap-distance-top:5.7pt;mso-wrap-distance-bottom:5.7pt;margin-top:7.95pt;mso-position-vertical-relative:text;margin-left:259.5pt;mso-position-horizontal-relative:text">
                <v:textbox>
                  <w:txbxContent>
                    <w:p>
                      <w:pPr>
                        <w:pStyle w:val="Style22"/>
                        <w:rPr/>
                      </w:pPr>
                      <w:r>
                        <w:rPr>
                          <w:sz w:val="24"/>
                          <w:szCs w:val="24"/>
                        </w:rPr>
                        <w:t xml:space="preserve">Формирование и направление межведомственных запросов </w:t>
                      </w:r>
                    </w:p>
                  </w:txbxContent>
                </v:textbox>
              </v:rect>
            </w:pict>
          </mc:Fallback>
        </mc:AlternateContent>
      </w:r>
    </w:p>
    <w:p>
      <w:pPr>
        <w:pStyle w:val="Normal"/>
        <w:numPr>
          <w:ilvl w:val="0"/>
          <w:numId w:val="0"/>
        </w:numPr>
        <w:ind w:firstLine="540"/>
        <w:jc w:val="both"/>
        <w:outlineLvl w:val="0"/>
        <w:rPr>
          <w:color w:val="000000"/>
          <w:sz w:val="24"/>
          <w:szCs w:val="24"/>
          <w:lang w:eastAsia="ru-RU"/>
        </w:rPr>
      </w:pPr>
      <w:r>
        <w:rPr>
          <w:color w:val="000000"/>
          <w:sz w:val="24"/>
          <w:szCs w:val="24"/>
          <w:lang w:eastAsia="ru-RU"/>
        </w:rPr>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rPr>
      </w:pPr>
      <w:r>
        <w:rPr>
          <w:color w:val="000000"/>
          <w:sz w:val="24"/>
          <w:szCs w:val="24"/>
        </w:rPr>
        <mc:AlternateContent>
          <mc:Choice Requires="wps">
            <w:drawing>
              <wp:anchor behindDoc="0" distT="0" distB="0" distL="114300" distR="114300" simplePos="0" locked="0" layoutInCell="1" allowOverlap="1" relativeHeight="11">
                <wp:simplePos x="0" y="0"/>
                <wp:positionH relativeFrom="column">
                  <wp:posOffset>4651375</wp:posOffset>
                </wp:positionH>
                <wp:positionV relativeFrom="paragraph">
                  <wp:posOffset>78740</wp:posOffset>
                </wp:positionV>
                <wp:extent cx="85725" cy="449580"/>
                <wp:effectExtent l="0" t="0" r="0" b="0"/>
                <wp:wrapNone/>
                <wp:docPr id="11" name=""/>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366.25pt;margin-top:6.2pt;width:6.65pt;height:35.3pt" type="shapetype_67">
                <w10:wrap type="none"/>
                <v:fill o:detectmouseclick="t" type="solid" color2="#8d6030"/>
                <v:stroke color="black" joinstyle="miter" endcap="flat"/>
              </v:shape>
            </w:pict>
          </mc:Fallback>
        </mc:AlternateContent>
        <mc:AlternateContent>
          <mc:Choice Requires="wps">
            <w:drawing>
              <wp:anchor behindDoc="0" distT="0" distB="0" distL="114300" distR="114300" simplePos="0" locked="0" layoutInCell="1" allowOverlap="1" relativeHeight="12">
                <wp:simplePos x="0" y="0"/>
                <wp:positionH relativeFrom="column">
                  <wp:posOffset>1365250</wp:posOffset>
                </wp:positionH>
                <wp:positionV relativeFrom="paragraph">
                  <wp:posOffset>31115</wp:posOffset>
                </wp:positionV>
                <wp:extent cx="85725" cy="1639570"/>
                <wp:effectExtent l="0" t="0" r="0" b="0"/>
                <wp:wrapNone/>
                <wp:docPr id="12" name=""/>
                <a:graphic xmlns:a="http://schemas.openxmlformats.org/drawingml/2006/main">
                  <a:graphicData uri="http://schemas.microsoft.com/office/word/2010/wordprocessingShape">
                    <wps:wsp>
                      <wps:cNvSpPr/>
                      <wps:spPr>
                        <a:xfrm>
                          <a:off x="0" y="0"/>
                          <a:ext cx="84960" cy="1639080"/>
                        </a:xfrm>
                        <a:custGeom>
                          <a:avLst/>
                          <a:gdLst/>
                          <a:ahLst/>
                          <a:rect l="0" t="0" r="r" b="b"/>
                          <a:pathLst>
                            <a:path w="136" h="2583">
                              <a:moveTo>
                                <a:pt x="33" y="0"/>
                              </a:moveTo>
                              <a:lnTo>
                                <a:pt x="33" y="1936"/>
                              </a:lnTo>
                              <a:lnTo>
                                <a:pt x="0" y="1936"/>
                              </a:lnTo>
                              <a:lnTo>
                                <a:pt x="67" y="2582"/>
                              </a:lnTo>
                              <a:lnTo>
                                <a:pt x="135" y="1936"/>
                              </a:lnTo>
                              <a:lnTo>
                                <a:pt x="101" y="1936"/>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107.5pt;margin-top:2.45pt;width:6.65pt;height:129pt" type="shapetype_67">
                <w10:wrap type="none"/>
                <v:fill o:detectmouseclick="t" type="solid" color2="#8d6030"/>
                <v:stroke color="black" joinstyle="miter" endcap="flat"/>
              </v:shape>
            </w:pict>
          </mc:Fallback>
        </mc:AlternateContent>
      </w:r>
    </w:p>
    <w:p>
      <w:pPr>
        <w:pStyle w:val="Normal"/>
        <w:numPr>
          <w:ilvl w:val="0"/>
          <w:numId w:val="0"/>
        </w:numPr>
        <w:ind w:firstLine="540"/>
        <w:jc w:val="both"/>
        <w:outlineLvl w:val="0"/>
        <w:rPr>
          <w:color w:val="000000"/>
          <w:sz w:val="24"/>
          <w:szCs w:val="24"/>
          <w:lang w:eastAsia="ru-RU"/>
        </w:rPr>
      </w:pPr>
      <w:r>
        <w:rPr>
          <w:color w:val="000000"/>
          <w:sz w:val="24"/>
          <w:szCs w:val="24"/>
          <w:lang w:eastAsia="ru-RU"/>
        </w:rPr>
        <mc:AlternateContent>
          <mc:Choice Requires="wps">
            <w:drawing>
              <wp:anchor behindDoc="0" distT="0" distB="0" distL="114300" distR="114300" simplePos="0" locked="0" layoutInCell="1" allowOverlap="1" relativeHeight="13">
                <wp:simplePos x="0" y="0"/>
                <wp:positionH relativeFrom="column">
                  <wp:posOffset>979805</wp:posOffset>
                </wp:positionH>
                <wp:positionV relativeFrom="paragraph">
                  <wp:posOffset>4445</wp:posOffset>
                </wp:positionV>
                <wp:extent cx="1270" cy="1270"/>
                <wp:effectExtent l="0" t="0" r="0" b="0"/>
                <wp:wrapNone/>
                <wp:docPr id="13"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77.15pt;margin-top:0.35pt;width:0pt;height:0pt" type="shapetype_32">
                <w10:wrap type="none"/>
                <v:fill o:detectmouseclick="t" on="false"/>
                <v:stroke color="black" weight="9360" endarrow="block" endarrowwidth="medium" endarrowlength="medium" joinstyle="miter" endcap="flat"/>
              </v:shape>
            </w:pict>
          </mc:Fallback>
        </mc:AlternateContent>
        <mc:AlternateContent>
          <mc:Choice Requires="wps">
            <w:drawing>
              <wp:anchor behindDoc="0" distT="0" distB="0" distL="114300" distR="114300" simplePos="0" locked="0" layoutInCell="1" allowOverlap="1" relativeHeight="14">
                <wp:simplePos x="0" y="0"/>
                <wp:positionH relativeFrom="column">
                  <wp:posOffset>4408805</wp:posOffset>
                </wp:positionH>
                <wp:positionV relativeFrom="paragraph">
                  <wp:posOffset>42545</wp:posOffset>
                </wp:positionV>
                <wp:extent cx="1270" cy="1270"/>
                <wp:effectExtent l="0" t="0" r="0" b="0"/>
                <wp:wrapNone/>
                <wp:docPr id="14"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347.15pt;margin-top:3.35pt;width:0pt;height:0pt" type="shapetype_32">
                <w10:wrap type="none"/>
                <v:fill o:detectmouseclick="t" on="false"/>
                <v:stroke color="black" weight="9360" endarrow="block" endarrowwidth="medium" endarrowlength="medium" joinstyle="miter" endcap="flat"/>
              </v:shape>
            </w:pict>
          </mc:Fallback>
        </mc:AlternateContent>
      </w:r>
    </w:p>
    <w:p>
      <w:pPr>
        <w:pStyle w:val="Normal"/>
        <w:numPr>
          <w:ilvl w:val="0"/>
          <w:numId w:val="0"/>
        </w:numPr>
        <w:ind w:firstLine="540"/>
        <w:jc w:val="both"/>
        <w:outlineLvl w:val="0"/>
        <w:rPr>
          <w:color w:val="000000"/>
          <w:sz w:val="24"/>
          <w:szCs w:val="24"/>
        </w:rPr>
      </w:pPr>
      <w:r>
        <w:rPr>
          <w:color w:val="000000"/>
          <w:sz w:val="24"/>
          <w:szCs w:val="24"/>
        </w:rPr>
      </w:r>
    </w:p>
    <w:p>
      <w:pPr>
        <w:pStyle w:val="Normal"/>
        <w:numPr>
          <w:ilvl w:val="0"/>
          <w:numId w:val="0"/>
        </w:numPr>
        <w:ind w:firstLine="540"/>
        <w:jc w:val="both"/>
        <w:outlineLvl w:val="0"/>
        <w:rPr>
          <w:color w:val="000000"/>
          <w:sz w:val="24"/>
          <w:szCs w:val="24"/>
          <w:lang w:eastAsia="ru-RU"/>
        </w:rPr>
      </w:pPr>
      <w:r>
        <w:rPr>
          <w:color w:val="000000"/>
          <w:sz w:val="24"/>
          <w:szCs w:val="24"/>
          <w:lang w:eastAsia="ru-RU"/>
        </w:rPr>
      </w:r>
      <w:r>
        <mc:AlternateContent>
          <mc:Choice Requires="wps">
            <w:drawing>
              <wp:anchor behindDoc="0" distT="72390" distB="72390" distL="114935" distR="114935" simplePos="0" locked="0" layoutInCell="1" allowOverlap="1" relativeHeight="15">
                <wp:simplePos x="0" y="0"/>
                <wp:positionH relativeFrom="column">
                  <wp:posOffset>3267075</wp:posOffset>
                </wp:positionH>
                <wp:positionV relativeFrom="paragraph">
                  <wp:posOffset>1905</wp:posOffset>
                </wp:positionV>
                <wp:extent cx="2780665" cy="694690"/>
                <wp:effectExtent l="0" t="0" r="0" b="0"/>
                <wp:wrapNone/>
                <wp:docPr id="15" name=""/>
                <a:graphic xmlns:a="http://schemas.openxmlformats.org/drawingml/2006/main">
                  <a:graphicData uri="http://schemas.microsoft.com/office/word/2010/wordprocessingShape">
                    <wps:wsp>
                      <wps:cNvSpPr txBox="1"/>
                      <wps:spPr>
                        <a:xfrm>
                          <a:off x="0" y="0"/>
                          <a:ext cx="2780665" cy="694690"/>
                        </a:xfrm>
                        <a:prstGeom prst="rect"/>
                        <a:solidFill>
                          <a:srgbClr val="FFFFFF"/>
                        </a:solidFill>
                        <a:ln w="635">
                          <a:solidFill>
                            <a:srgbClr val="000000"/>
                          </a:solidFill>
                        </a:ln>
                      </wps:spPr>
                      <wps:txbx>
                        <w:txbxContent>
                          <w:p>
                            <w:pPr>
                              <w:pStyle w:val="Style22"/>
                              <w:rPr>
                                <w:sz w:val="24"/>
                                <w:szCs w:val="24"/>
                              </w:rPr>
                            </w:pPr>
                            <w:r>
                              <w:rPr>
                                <w:sz w:val="24"/>
                                <w:szCs w:val="24"/>
                              </w:rPr>
                              <w:t xml:space="preserve">Передача документов в ОКС </w:t>
                            </w:r>
                          </w:p>
                          <w:p>
                            <w:pPr>
                              <w:pStyle w:val="Style22"/>
                              <w:rPr/>
                            </w:pPr>
                            <w:r>
                              <w:rPr>
                                <w:sz w:val="24"/>
                                <w:szCs w:val="24"/>
                              </w:rPr>
                              <w:t>администрации Шарангского муниципального района</w:t>
                            </w:r>
                            <w:r>
                              <w:rPr>
                                <w:rFonts w:cs="Courier New" w:ascii="Courier New" w:hAnsi="Courier New"/>
                                <w:b/>
                                <w:bCs/>
                              </w:rPr>
                              <w:t xml:space="preserve"> </w:t>
                            </w:r>
                          </w:p>
                        </w:txbxContent>
                      </wps:txbx>
                      <wps:bodyPr anchor="t" lIns="91440" tIns="45720" rIns="91440" bIns="45720">
                        <a:noAutofit/>
                      </wps:bodyPr>
                    </wps:wsp>
                  </a:graphicData>
                </a:graphic>
              </wp:anchor>
            </w:drawing>
          </mc:Choice>
          <mc:Fallback>
            <w:pict>
              <v:rect fillcolor="#FFFFFF" strokecolor="#000000" strokeweight="0pt" style="position:absolute;rotation:0;width:218.95pt;height:54.7pt;mso-wrap-distance-left:9.05pt;mso-wrap-distance-right:9.05pt;mso-wrap-distance-top:5.7pt;mso-wrap-distance-bottom:5.7pt;margin-top:0.15pt;mso-position-vertical-relative:text;margin-left:257.25pt;mso-position-horizontal-relative:text">
                <v:textbox>
                  <w:txbxContent>
                    <w:p>
                      <w:pPr>
                        <w:pStyle w:val="Style22"/>
                        <w:rPr>
                          <w:sz w:val="24"/>
                          <w:szCs w:val="24"/>
                        </w:rPr>
                      </w:pPr>
                      <w:r>
                        <w:rPr>
                          <w:sz w:val="24"/>
                          <w:szCs w:val="24"/>
                        </w:rPr>
                        <w:t xml:space="preserve">Передача документов в ОКС </w:t>
                      </w:r>
                    </w:p>
                    <w:p>
                      <w:pPr>
                        <w:pStyle w:val="Style22"/>
                        <w:rPr/>
                      </w:pPr>
                      <w:r>
                        <w:rPr>
                          <w:sz w:val="24"/>
                          <w:szCs w:val="24"/>
                        </w:rPr>
                        <w:t>администрации Шарангского муниципального района</w:t>
                      </w:r>
                      <w:r>
                        <w:rPr>
                          <w:rFonts w:cs="Courier New" w:ascii="Courier New" w:hAnsi="Courier New"/>
                          <w:b/>
                          <w:bCs/>
                        </w:rPr>
                        <w:t xml:space="preserve"> </w:t>
                      </w:r>
                    </w:p>
                  </w:txbxContent>
                </v:textbox>
              </v:rect>
            </w:pict>
          </mc:Fallback>
        </mc:AlternateContent>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Cs/>
          <w:color w:val="000000"/>
          <w:sz w:val="24"/>
          <w:szCs w:val="24"/>
        </w:rPr>
      </w:pPr>
      <w:r>
        <w:rPr>
          <w:rFonts w:cs="Courier New"/>
          <w:bCs/>
          <w:color w:val="000000"/>
          <w:sz w:val="24"/>
          <w:szCs w:val="24"/>
        </w:rPr>
        <mc:AlternateContent>
          <mc:Choice Requires="wps">
            <w:drawing>
              <wp:anchor behindDoc="0" distT="0" distB="0" distL="114300" distR="114300" simplePos="0" locked="0" layoutInCell="1" allowOverlap="1" relativeHeight="16">
                <wp:simplePos x="0" y="0"/>
                <wp:positionH relativeFrom="column">
                  <wp:posOffset>4651375</wp:posOffset>
                </wp:positionH>
                <wp:positionV relativeFrom="paragraph">
                  <wp:posOffset>95885</wp:posOffset>
                </wp:positionV>
                <wp:extent cx="86995" cy="450215"/>
                <wp:effectExtent l="0" t="0" r="0" b="0"/>
                <wp:wrapNone/>
                <wp:docPr id="16" name=""/>
                <a:graphic xmlns:a="http://schemas.openxmlformats.org/drawingml/2006/main">
                  <a:graphicData uri="http://schemas.microsoft.com/office/word/2010/wordprocessingShape">
                    <wps:wsp>
                      <wps:cNvSpPr/>
                      <wps:spPr>
                        <a:xfrm>
                          <a:off x="0" y="0"/>
                          <a:ext cx="86400" cy="449640"/>
                        </a:xfrm>
                        <a:custGeom>
                          <a:avLst/>
                          <a:gdLst/>
                          <a:ahLst/>
                          <a:rect l="0" t="0" r="r" b="b"/>
                          <a:pathLst>
                            <a:path w="138" h="710">
                              <a:moveTo>
                                <a:pt x="34" y="0"/>
                              </a:moveTo>
                              <a:lnTo>
                                <a:pt x="34" y="531"/>
                              </a:lnTo>
                              <a:lnTo>
                                <a:pt x="0" y="531"/>
                              </a:lnTo>
                              <a:lnTo>
                                <a:pt x="68" y="709"/>
                              </a:lnTo>
                              <a:lnTo>
                                <a:pt x="137" y="531"/>
                              </a:lnTo>
                              <a:lnTo>
                                <a:pt x="102" y="531"/>
                              </a:lnTo>
                              <a:lnTo>
                                <a:pt x="102" y="0"/>
                              </a:lnTo>
                              <a:lnTo>
                                <a:pt x="34"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366.25pt;margin-top:7.55pt;width:6.75pt;height:35.35pt" type="shapetype_67">
                <w10:wrap type="none"/>
                <v:fill o:detectmouseclick="t" type="solid" color2="#8d6030"/>
                <v:stroke color="black" joinstyle="miter" endcap="flat"/>
              </v:shape>
            </w:pict>
          </mc:Fallback>
        </mc:AlternateContent>
      </w:r>
    </w:p>
    <w:p>
      <w:pPr>
        <w:pStyle w:val="1"/>
        <w:numPr>
          <w:ilvl w:val="0"/>
          <w:numId w:val="2"/>
        </w:numPr>
        <w:spacing w:before="0" w:after="0"/>
        <w:jc w:val="both"/>
        <w:rPr>
          <w:rFonts w:cs="Courier New"/>
          <w:bCs/>
          <w:color w:val="000000"/>
          <w:sz w:val="24"/>
          <w:szCs w:val="24"/>
        </w:rPr>
      </w:pPr>
      <w:r>
        <w:rPr>
          <w:rFonts w:cs="Courier New"/>
          <w:bCs/>
          <w:color w:val="000000"/>
          <w:sz w:val="24"/>
          <w:szCs w:val="24"/>
        </w:rPr>
      </w:r>
    </w:p>
    <w:p>
      <w:pPr>
        <w:pStyle w:val="1"/>
        <w:numPr>
          <w:ilvl w:val="0"/>
          <w:numId w:val="2"/>
        </w:numPr>
        <w:spacing w:before="0" w:after="0"/>
        <w:jc w:val="both"/>
        <w:rPr>
          <w:color w:val="000000"/>
          <w:sz w:val="24"/>
          <w:szCs w:val="24"/>
          <w:lang w:eastAsia="ru-RU"/>
        </w:rPr>
      </w:pPr>
      <w:r>
        <w:rPr>
          <w:color w:val="000000"/>
          <w:sz w:val="24"/>
          <w:szCs w:val="24"/>
          <w:lang w:eastAsia="ru-RU"/>
        </w:rPr>
        <mc:AlternateContent>
          <mc:Choice Requires="wps">
            <w:drawing>
              <wp:anchor behindDoc="0" distT="0" distB="0" distL="114300" distR="114300" simplePos="0" locked="0" layoutInCell="1" allowOverlap="1" relativeHeight="17">
                <wp:simplePos x="0" y="0"/>
                <wp:positionH relativeFrom="column">
                  <wp:posOffset>4408805</wp:posOffset>
                </wp:positionH>
                <wp:positionV relativeFrom="paragraph">
                  <wp:posOffset>86995</wp:posOffset>
                </wp:positionV>
                <wp:extent cx="1270" cy="1270"/>
                <wp:effectExtent l="0" t="0" r="0" b="0"/>
                <wp:wrapNone/>
                <wp:docPr id="17"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347.15pt;margin-top:6.85pt;width:0pt;height:0pt" type="shapetype_32">
                <w10:wrap type="none"/>
                <v:fill o:detectmouseclick="t" on="false"/>
                <v:stroke color="black" weight="9360" endarrow="block" endarrowwidth="medium" endarrowlength="medium" joinstyle="miter" endcap="flat"/>
              </v:shape>
            </w:pict>
          </mc:Fallback>
        </mc:AlternateContent>
      </w:r>
    </w:p>
    <w:p>
      <w:pPr>
        <w:pStyle w:val="Normal"/>
        <w:rPr>
          <w:color w:val="000000"/>
          <w:sz w:val="24"/>
          <w:szCs w:val="24"/>
        </w:rPr>
      </w:pPr>
      <w:r>
        <w:rPr>
          <w:color w:val="000000"/>
          <w:sz w:val="24"/>
          <w:szCs w:val="24"/>
        </w:rPr>
      </w:r>
    </w:p>
    <w:p>
      <w:pPr>
        <w:pStyle w:val="Normal"/>
        <w:rPr>
          <w:rFonts w:cs="Courier New"/>
          <w:b/>
          <w:b/>
          <w:bCs/>
          <w:color w:val="000000"/>
          <w:sz w:val="24"/>
          <w:szCs w:val="24"/>
          <w:lang w:eastAsia="ru-RU"/>
        </w:rPr>
      </w:pPr>
      <w:r>
        <w:rPr>
          <w:rFonts w:cs="Courier New"/>
          <w:b/>
          <w:bCs/>
          <w:color w:val="000000"/>
          <w:sz w:val="24"/>
          <w:szCs w:val="24"/>
          <w:lang w:eastAsia="ru-RU"/>
        </w:rPr>
      </w:r>
      <w:r>
        <mc:AlternateContent>
          <mc:Choice Requires="wps">
            <w:drawing>
              <wp:anchor behindDoc="0" distT="72390" distB="72390" distL="114935" distR="114935" simplePos="0" locked="0" layoutInCell="1" allowOverlap="1" relativeHeight="18">
                <wp:simplePos x="0" y="0"/>
                <wp:positionH relativeFrom="column">
                  <wp:posOffset>60960</wp:posOffset>
                </wp:positionH>
                <wp:positionV relativeFrom="paragraph">
                  <wp:posOffset>19050</wp:posOffset>
                </wp:positionV>
                <wp:extent cx="5972175" cy="504190"/>
                <wp:effectExtent l="0" t="0" r="0" b="0"/>
                <wp:wrapNone/>
                <wp:docPr id="18" name=""/>
                <a:graphic xmlns:a="http://schemas.openxmlformats.org/drawingml/2006/main">
                  <a:graphicData uri="http://schemas.microsoft.com/office/word/2010/wordprocessingShape">
                    <wps:wsp>
                      <wps:cNvSpPr txBox="1"/>
                      <wps:spPr>
                        <a:xfrm>
                          <a:off x="0" y="0"/>
                          <a:ext cx="5972175" cy="504190"/>
                        </a:xfrm>
                        <a:prstGeom prst="rect"/>
                        <a:solidFill>
                          <a:srgbClr val="FFFFFF"/>
                        </a:solidFill>
                        <a:ln w="635">
                          <a:solidFill>
                            <a:srgbClr val="000000"/>
                          </a:solidFill>
                        </a:ln>
                      </wps:spPr>
                      <wps:txbx>
                        <w:txbxContent>
                          <w:p>
                            <w:pPr>
                              <w:pStyle w:val="Style22"/>
                              <w:rPr/>
                            </w:pPr>
                            <w:r>
                              <w:rPr>
                                <w:sz w:val="24"/>
                                <w:szCs w:val="24"/>
                              </w:rPr>
                              <w:t>Рассмотрение заявления о выдаче разрешения на ввод объекта в эксплуатацию либо уведомления об окончании строительства и прилагаемых документов</w:t>
                            </w:r>
                          </w:p>
                        </w:txbxContent>
                      </wps:txbx>
                      <wps:bodyPr anchor="t" lIns="91440" tIns="45720" rIns="91440" bIns="45720">
                        <a:noAutofit/>
                      </wps:bodyPr>
                    </wps:wsp>
                  </a:graphicData>
                </a:graphic>
              </wp:anchor>
            </w:drawing>
          </mc:Choice>
          <mc:Fallback>
            <w:pict>
              <v:rect fillcolor="#FFFFFF" strokecolor="#000000" strokeweight="0pt" style="position:absolute;rotation:0;width:470.25pt;height:39.7pt;mso-wrap-distance-left:9.05pt;mso-wrap-distance-right:9.05pt;mso-wrap-distance-top:5.7pt;mso-wrap-distance-bottom:5.7pt;margin-top:1.5pt;mso-position-vertical-relative:text;margin-left:4.8pt;mso-position-horizontal-relative:text">
                <v:textbox>
                  <w:txbxContent>
                    <w:p>
                      <w:pPr>
                        <w:pStyle w:val="Style22"/>
                        <w:rPr/>
                      </w:pPr>
                      <w:r>
                        <w:rPr>
                          <w:sz w:val="24"/>
                          <w:szCs w:val="24"/>
                        </w:rPr>
                        <w:t>Рассмотрение заявления о выдаче разрешения на ввод объекта в эксплуатацию либо уведомления об окончании строительства и прилагаемых документов</w:t>
                      </w:r>
                    </w:p>
                  </w:txbxContent>
                </v:textbox>
              </v:rect>
            </w:pict>
          </mc:Fallback>
        </mc:AlternateContent>
      </w:r>
    </w:p>
    <w:p>
      <w:pPr>
        <w:pStyle w:val="Normal"/>
        <w:rPr>
          <w:color w:val="000000"/>
          <w:sz w:val="24"/>
          <w:szCs w:val="24"/>
        </w:rPr>
      </w:pPr>
      <w:r>
        <w:rPr>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mc:AlternateContent>
          <mc:Choice Requires="wps">
            <w:drawing>
              <wp:anchor behindDoc="0" distT="0" distB="0" distL="114300" distR="114300" simplePos="0" locked="0" layoutInCell="1" allowOverlap="1" relativeHeight="19">
                <wp:simplePos x="0" y="0"/>
                <wp:positionH relativeFrom="column">
                  <wp:posOffset>4651375</wp:posOffset>
                </wp:positionH>
                <wp:positionV relativeFrom="paragraph">
                  <wp:posOffset>30480</wp:posOffset>
                </wp:positionV>
                <wp:extent cx="85725" cy="449580"/>
                <wp:effectExtent l="0" t="0" r="0" b="0"/>
                <wp:wrapNone/>
                <wp:docPr id="19" name=""/>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366.25pt;margin-top:2.4pt;width:6.65pt;height:35.3pt" type="shapetype_67">
                <w10:wrap type="none"/>
                <v:fill o:detectmouseclick="t" type="solid" color2="#8d6030"/>
                <v:stroke color="black" joinstyle="miter" endcap="flat"/>
              </v:shape>
            </w:pict>
          </mc:Fallback>
        </mc:AlternateContent>
        <mc:AlternateContent>
          <mc:Choice Requires="wps">
            <w:drawing>
              <wp:anchor behindDoc="0" distT="0" distB="0" distL="114300" distR="114300" simplePos="0" locked="0" layoutInCell="1" allowOverlap="1" relativeHeight="20">
                <wp:simplePos x="0" y="0"/>
                <wp:positionH relativeFrom="column">
                  <wp:posOffset>1384300</wp:posOffset>
                </wp:positionH>
                <wp:positionV relativeFrom="paragraph">
                  <wp:posOffset>30480</wp:posOffset>
                </wp:positionV>
                <wp:extent cx="85725" cy="449580"/>
                <wp:effectExtent l="0" t="0" r="0" b="0"/>
                <wp:wrapNone/>
                <wp:docPr id="20" name=""/>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109pt;margin-top:2.4pt;width:6.65pt;height:35.3pt" type="shapetype_67">
                <w10:wrap type="none"/>
                <v:fill o:detectmouseclick="t" type="solid" color2="#8d6030"/>
                <v:stroke color="black" joinstyle="miter" endcap="flat"/>
              </v:shape>
            </w:pict>
          </mc:Fallback>
        </mc:AlternateContent>
      </w:r>
    </w:p>
    <w:p>
      <w:pPr>
        <w:pStyle w:val="1"/>
        <w:keepNext w:val="false"/>
        <w:numPr>
          <w:ilvl w:val="0"/>
          <w:numId w:val="2"/>
        </w:numPr>
        <w:spacing w:before="0" w:after="0"/>
        <w:jc w:val="both"/>
        <w:rPr>
          <w:rFonts w:cs="Courier New"/>
          <w:b w:val="false"/>
          <w:b w:val="false"/>
          <w:bCs/>
          <w:color w:val="000000"/>
          <w:sz w:val="24"/>
          <w:szCs w:val="24"/>
          <w:lang w:eastAsia="ru-RU"/>
        </w:rPr>
      </w:pPr>
      <w:r>
        <w:rPr>
          <w:rFonts w:cs="Courier New"/>
          <w:b w:val="false"/>
          <w:bCs/>
          <w:color w:val="000000"/>
          <w:sz w:val="24"/>
          <w:szCs w:val="24"/>
          <w:lang w:eastAsia="ru-RU"/>
        </w:rPr>
        <mc:AlternateContent>
          <mc:Choice Requires="wps">
            <w:drawing>
              <wp:anchor behindDoc="0" distT="0" distB="0" distL="114300" distR="114300" simplePos="0" locked="0" layoutInCell="1" allowOverlap="1" relativeHeight="21">
                <wp:simplePos x="0" y="0"/>
                <wp:positionH relativeFrom="column">
                  <wp:posOffset>1437005</wp:posOffset>
                </wp:positionH>
                <wp:positionV relativeFrom="paragraph">
                  <wp:posOffset>43815</wp:posOffset>
                </wp:positionV>
                <wp:extent cx="1270" cy="1270"/>
                <wp:effectExtent l="0" t="0" r="0" b="0"/>
                <wp:wrapNone/>
                <wp:docPr id="21"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113.15pt;margin-top:3.45pt;width:0pt;height:0pt" type="shapetype_32">
                <w10:wrap type="none"/>
                <v:fill o:detectmouseclick="t" on="false"/>
                <v:stroke color="black" weight="9360" endarrow="block" endarrowwidth="medium" endarrowlength="medium" joinstyle="miter" endcap="flat"/>
              </v:shape>
            </w:pict>
          </mc:Fallback>
        </mc:AlternateContent>
        <mc:AlternateContent>
          <mc:Choice Requires="wps">
            <w:drawing>
              <wp:anchor behindDoc="0" distT="0" distB="0" distL="114300" distR="114300" simplePos="0" locked="0" layoutInCell="1" allowOverlap="1" relativeHeight="22">
                <wp:simplePos x="0" y="0"/>
                <wp:positionH relativeFrom="column">
                  <wp:posOffset>4408805</wp:posOffset>
                </wp:positionH>
                <wp:positionV relativeFrom="paragraph">
                  <wp:posOffset>43815</wp:posOffset>
                </wp:positionV>
                <wp:extent cx="1270" cy="1270"/>
                <wp:effectExtent l="0" t="0" r="0" b="0"/>
                <wp:wrapNone/>
                <wp:docPr id="22"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347.15pt;margin-top:3.45pt;width:0pt;height:0pt" type="shapetype_32">
                <w10:wrap type="none"/>
                <v:fill o:detectmouseclick="t" on="false"/>
                <v:stroke color="black" weight="9360" endarrow="block" endarrowwidth="medium" endarrowlength="medium" joinstyle="miter" endcap="flat"/>
              </v:shape>
            </w:pict>
          </mc:Fallback>
        </mc:AlternateContent>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tabs>
          <w:tab w:val="clear" w:pos="709"/>
          <w:tab w:val="center" w:pos="4819" w:leader="none"/>
        </w:tabs>
        <w:spacing w:before="0" w:after="0"/>
        <w:jc w:val="both"/>
        <w:rPr>
          <w:rFonts w:cs="Courier New"/>
          <w:b w:val="false"/>
          <w:b w:val="false"/>
          <w:bCs/>
          <w:color w:val="000000"/>
          <w:sz w:val="24"/>
          <w:szCs w:val="24"/>
        </w:rPr>
      </w:pPr>
      <w:r>
        <w:rPr>
          <w:rFonts w:cs="Courier New"/>
          <w:b w:val="false"/>
          <w:bCs/>
          <w:color w:val="000000"/>
          <w:sz w:val="24"/>
          <w:szCs w:val="24"/>
        </w:rPr>
        <w:tab/>
      </w:r>
      <w:r>
        <mc:AlternateContent>
          <mc:Choice Requires="wps">
            <w:drawing>
              <wp:anchor behindDoc="0" distT="72390" distB="72390" distL="114935" distR="114935" simplePos="0" locked="0" layoutInCell="1" allowOverlap="1" relativeHeight="23">
                <wp:simplePos x="0" y="0"/>
                <wp:positionH relativeFrom="column">
                  <wp:posOffset>60960</wp:posOffset>
                </wp:positionH>
                <wp:positionV relativeFrom="paragraph">
                  <wp:posOffset>85090</wp:posOffset>
                </wp:positionV>
                <wp:extent cx="3390900" cy="1351280"/>
                <wp:effectExtent l="0" t="0" r="0" b="0"/>
                <wp:wrapNone/>
                <wp:docPr id="23" name=""/>
                <a:graphic xmlns:a="http://schemas.openxmlformats.org/drawingml/2006/main">
                  <a:graphicData uri="http://schemas.microsoft.com/office/word/2010/wordprocessingShape">
                    <wps:wsp>
                      <wps:cNvSpPr txBox="1"/>
                      <wps:spPr>
                        <a:xfrm>
                          <a:off x="0" y="0"/>
                          <a:ext cx="3390900" cy="1351280"/>
                        </a:xfrm>
                        <a:prstGeom prst="rect"/>
                        <a:solidFill>
                          <a:srgbClr val="FFFFFF"/>
                        </a:solidFill>
                        <a:ln w="635">
                          <a:solidFill>
                            <a:srgbClr val="000000"/>
                          </a:solidFill>
                        </a:ln>
                      </wps:spPr>
                      <wps:txbx>
                        <w:txbxContent>
                          <w:p>
                            <w:pPr>
                              <w:pStyle w:val="Style22"/>
                              <w:numPr>
                                <w:ilvl w:val="0"/>
                                <w:numId w:val="2"/>
                              </w:numPr>
                              <w:rPr/>
                            </w:pPr>
                            <w:r>
                              <w:rPr>
                                <w:sz w:val="24"/>
                                <w:szCs w:val="24"/>
                              </w:rPr>
                              <w:t xml:space="preserve">Подготовка разрешения на ввод объекта в эксплуатацию либо </w:t>
                            </w:r>
                            <w:r>
                              <w:rPr>
                                <w:rFonts w:eastAsia="Calibri"/>
                                <w:sz w:val="24"/>
                                <w:szCs w:val="24"/>
                                <w:lang w:eastAsia="en-US"/>
                              </w:rPr>
                              <w:t>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txbxContent>
                      </wps:txbx>
                      <wps:bodyPr anchor="t" lIns="91440" tIns="45720" rIns="91440" bIns="45720">
                        <a:noAutofit/>
                      </wps:bodyPr>
                    </wps:wsp>
                  </a:graphicData>
                </a:graphic>
              </wp:anchor>
            </w:drawing>
          </mc:Choice>
          <mc:Fallback>
            <w:pict>
              <v:rect fillcolor="#FFFFFF" strokecolor="#000000" strokeweight="0pt" style="position:absolute;rotation:0;width:267pt;height:106.4pt;mso-wrap-distance-left:9.05pt;mso-wrap-distance-right:9.05pt;mso-wrap-distance-top:5.7pt;mso-wrap-distance-bottom:5.7pt;margin-top:6.7pt;mso-position-vertical-relative:text;margin-left:4.8pt;mso-position-horizontal-relative:text">
                <v:textbox>
                  <w:txbxContent>
                    <w:p>
                      <w:pPr>
                        <w:pStyle w:val="Style22"/>
                        <w:numPr>
                          <w:ilvl w:val="0"/>
                          <w:numId w:val="2"/>
                        </w:numPr>
                        <w:rPr/>
                      </w:pPr>
                      <w:r>
                        <w:rPr>
                          <w:sz w:val="24"/>
                          <w:szCs w:val="24"/>
                        </w:rPr>
                        <w:t xml:space="preserve">Подготовка разрешения на ввод объекта в эксплуатацию либо </w:t>
                      </w:r>
                      <w:r>
                        <w:rPr>
                          <w:rFonts w:eastAsia="Calibri"/>
                          <w:sz w:val="24"/>
                          <w:szCs w:val="24"/>
                          <w:lang w:eastAsia="en-US"/>
                        </w:rPr>
                        <w:t>уведомления о соответствии или несоответствии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w:t>
                      </w:r>
                    </w:p>
                  </w:txbxContent>
                </v:textbox>
              </v:rect>
            </w:pict>
          </mc:Fallback>
        </mc:AlternateContent>
      </w:r>
      <w:r>
        <mc:AlternateContent>
          <mc:Choice Requires="wps">
            <w:drawing>
              <wp:anchor behindDoc="0" distT="72390" distB="72390" distL="114935" distR="114935" simplePos="0" locked="0" layoutInCell="1" allowOverlap="1" relativeHeight="24">
                <wp:simplePos x="0" y="0"/>
                <wp:positionH relativeFrom="column">
                  <wp:posOffset>3698875</wp:posOffset>
                </wp:positionH>
                <wp:positionV relativeFrom="paragraph">
                  <wp:posOffset>75565</wp:posOffset>
                </wp:positionV>
                <wp:extent cx="2310765" cy="1370330"/>
                <wp:effectExtent l="0" t="0" r="0" b="0"/>
                <wp:wrapNone/>
                <wp:docPr id="24" name=""/>
                <a:graphic xmlns:a="http://schemas.openxmlformats.org/drawingml/2006/main">
                  <a:graphicData uri="http://schemas.microsoft.com/office/word/2010/wordprocessingShape">
                    <wps:wsp>
                      <wps:cNvSpPr txBox="1"/>
                      <wps:spPr>
                        <a:xfrm>
                          <a:off x="0" y="0"/>
                          <a:ext cx="2310765" cy="1370330"/>
                        </a:xfrm>
                        <a:prstGeom prst="rect"/>
                        <a:solidFill>
                          <a:srgbClr val="FFFFFF"/>
                        </a:solidFill>
                        <a:ln w="635">
                          <a:solidFill>
                            <a:srgbClr val="000000"/>
                          </a:solidFill>
                        </a:ln>
                      </wps:spPr>
                      <wps:txbx>
                        <w:txbxContent>
                          <w:p>
                            <w:pPr>
                              <w:pStyle w:val="Style22"/>
                              <w:numPr>
                                <w:ilvl w:val="0"/>
                                <w:numId w:val="2"/>
                              </w:numPr>
                              <w:rPr/>
                            </w:pPr>
                            <w:r>
                              <w:rPr>
                                <w:sz w:val="24"/>
                                <w:szCs w:val="24"/>
                              </w:rPr>
                              <w:t xml:space="preserve">Подготовка и направление мотивированного отказа в предоставлении муниципальной услуги </w:t>
                            </w:r>
                          </w:p>
                        </w:txbxContent>
                      </wps:txbx>
                      <wps:bodyPr anchor="t" lIns="91440" tIns="45720" rIns="91440" bIns="45720">
                        <a:noAutofit/>
                      </wps:bodyPr>
                    </wps:wsp>
                  </a:graphicData>
                </a:graphic>
              </wp:anchor>
            </w:drawing>
          </mc:Choice>
          <mc:Fallback>
            <w:pict>
              <v:rect fillcolor="#FFFFFF" strokecolor="#000000" strokeweight="0pt" style="position:absolute;rotation:0;width:181.95pt;height:107.9pt;mso-wrap-distance-left:9.05pt;mso-wrap-distance-right:9.05pt;mso-wrap-distance-top:5.7pt;mso-wrap-distance-bottom:5.7pt;margin-top:5.95pt;mso-position-vertical-relative:text;margin-left:291.25pt;mso-position-horizontal-relative:text">
                <v:textbox>
                  <w:txbxContent>
                    <w:p>
                      <w:pPr>
                        <w:pStyle w:val="Style22"/>
                        <w:numPr>
                          <w:ilvl w:val="0"/>
                          <w:numId w:val="2"/>
                        </w:numPr>
                        <w:rPr/>
                      </w:pPr>
                      <w:r>
                        <w:rPr>
                          <w:sz w:val="24"/>
                          <w:szCs w:val="24"/>
                        </w:rPr>
                        <w:t xml:space="preserve">Подготовка и направление мотивированного отказа в предоставлении муниципальной услуги </w:t>
                      </w:r>
                    </w:p>
                  </w:txbxContent>
                </v:textbox>
              </v:rect>
            </w:pict>
          </mc:Fallback>
        </mc:AlternateContent>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mc:AlternateContent>
          <mc:Choice Requires="wps">
            <w:drawing>
              <wp:anchor behindDoc="0" distT="0" distB="0" distL="114300" distR="114300" simplePos="0" locked="0" layoutInCell="1" allowOverlap="1" relativeHeight="25">
                <wp:simplePos x="0" y="0"/>
                <wp:positionH relativeFrom="column">
                  <wp:posOffset>4651375</wp:posOffset>
                </wp:positionH>
                <wp:positionV relativeFrom="paragraph">
                  <wp:posOffset>13335</wp:posOffset>
                </wp:positionV>
                <wp:extent cx="85725" cy="449580"/>
                <wp:effectExtent l="0" t="0" r="0" b="0"/>
                <wp:wrapNone/>
                <wp:docPr id="25" name=""/>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366.25pt;margin-top:1.05pt;width:6.65pt;height:35.3pt" type="shapetype_67">
                <w10:wrap type="none"/>
                <v:fill o:detectmouseclick="t" type="solid" color2="#8d6030"/>
                <v:stroke color="black" joinstyle="miter" endcap="flat"/>
              </v:shape>
            </w:pict>
          </mc:Fallback>
        </mc:AlternateContent>
        <mc:AlternateContent>
          <mc:Choice Requires="wps">
            <w:drawing>
              <wp:anchor behindDoc="0" distT="0" distB="0" distL="114300" distR="114300" simplePos="0" locked="0" layoutInCell="1" allowOverlap="1" relativeHeight="26">
                <wp:simplePos x="0" y="0"/>
                <wp:positionH relativeFrom="column">
                  <wp:posOffset>1422400</wp:posOffset>
                </wp:positionH>
                <wp:positionV relativeFrom="paragraph">
                  <wp:posOffset>3810</wp:posOffset>
                </wp:positionV>
                <wp:extent cx="85725" cy="449580"/>
                <wp:effectExtent l="0" t="0" r="0" b="0"/>
                <wp:wrapNone/>
                <wp:docPr id="26" name=""/>
                <a:graphic xmlns:a="http://schemas.openxmlformats.org/drawingml/2006/main">
                  <a:graphicData uri="http://schemas.microsoft.com/office/word/2010/wordprocessingShape">
                    <wps:wsp>
                      <wps:cNvSpPr/>
                      <wps:spPr>
                        <a:xfrm>
                          <a:off x="0" y="0"/>
                          <a:ext cx="84960" cy="448920"/>
                        </a:xfrm>
                        <a:custGeom>
                          <a:avLst/>
                          <a:gdLst/>
                          <a:ahLst/>
                          <a:rect l="0" t="0" r="r" b="b"/>
                          <a:pathLst>
                            <a:path w="136" h="709">
                              <a:moveTo>
                                <a:pt x="33" y="0"/>
                              </a:moveTo>
                              <a:lnTo>
                                <a:pt x="33" y="531"/>
                              </a:lnTo>
                              <a:lnTo>
                                <a:pt x="0" y="531"/>
                              </a:lnTo>
                              <a:lnTo>
                                <a:pt x="67" y="708"/>
                              </a:lnTo>
                              <a:lnTo>
                                <a:pt x="135" y="531"/>
                              </a:lnTo>
                              <a:lnTo>
                                <a:pt x="101" y="531"/>
                              </a:lnTo>
                              <a:lnTo>
                                <a:pt x="101" y="0"/>
                              </a:lnTo>
                              <a:lnTo>
                                <a:pt x="33" y="0"/>
                              </a:lnTo>
                            </a:path>
                          </a:pathLst>
                        </a:custGeom>
                        <a:solidFill>
                          <a:srgbClr val="729fcf"/>
                        </a:solidFill>
                        <a:ln>
                          <a:solidFill>
                            <a:srgbClr val="000000"/>
                          </a:solidFill>
                        </a:ln>
                      </wps:spPr>
                      <wps:style>
                        <a:lnRef idx="0"/>
                        <a:fillRef idx="0"/>
                        <a:effectRef idx="0"/>
                        <a:fontRef idx="minor"/>
                      </wps:style>
                      <wps:bodyPr/>
                    </wps:wsp>
                  </a:graphicData>
                </a:graphic>
              </wp:anchor>
            </w:drawing>
          </mc:Choice>
          <mc:Fallback>
            <w:pict>
              <v:shape id="shape_0" fillcolor="#729fcf" stroked="t" style="position:absolute;margin-left:112pt;margin-top:0.3pt;width:6.65pt;height:35.3pt" type="shapetype_67">
                <w10:wrap type="none"/>
                <v:fill o:detectmouseclick="t" type="solid" color2="#8d6030"/>
                <v:stroke color="black" joinstyle="miter" endcap="flat"/>
              </v:shape>
            </w:pict>
          </mc:Fallback>
        </mc:AlternateContent>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cs="Courier New"/>
          <w:b w:val="false"/>
          <w:b w:val="false"/>
          <w:bCs/>
          <w:color w:val="000000"/>
          <w:sz w:val="24"/>
          <w:szCs w:val="24"/>
        </w:rPr>
      </w:pPr>
      <w:r>
        <w:rPr>
          <w:rFonts w:cs="Courier New"/>
          <w:b w:val="false"/>
          <w:bCs/>
          <w:color w:val="000000"/>
          <w:sz w:val="24"/>
          <w:szCs w:val="24"/>
        </w:rPr>
      </w:r>
    </w:p>
    <w:p>
      <w:pPr>
        <w:pStyle w:val="1"/>
        <w:keepNext w:val="false"/>
        <w:numPr>
          <w:ilvl w:val="0"/>
          <w:numId w:val="2"/>
        </w:numPr>
        <w:spacing w:before="0" w:after="0"/>
        <w:jc w:val="both"/>
        <w:rPr>
          <w:rFonts w:eastAsia="Calibri"/>
          <w:lang w:eastAsia="en-US"/>
        </w:rPr>
      </w:pPr>
      <w:r>
        <w:rPr>
          <w:rFonts w:eastAsia="Calibri"/>
          <w:lang w:eastAsia="en-US"/>
        </w:rPr>
        <mc:AlternateContent>
          <mc:Choice Requires="wps">
            <w:drawing>
              <wp:anchor behindDoc="0" distT="0" distB="0" distL="114300" distR="114300" simplePos="0" locked="0" layoutInCell="1" allowOverlap="1" relativeHeight="27">
                <wp:simplePos x="0" y="0"/>
                <wp:positionH relativeFrom="column">
                  <wp:posOffset>1322705</wp:posOffset>
                </wp:positionH>
                <wp:positionV relativeFrom="paragraph">
                  <wp:posOffset>45085</wp:posOffset>
                </wp:positionV>
                <wp:extent cx="1270" cy="1270"/>
                <wp:effectExtent l="0" t="0" r="0" b="0"/>
                <wp:wrapNone/>
                <wp:docPr id="27"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104.15pt;margin-top:3.55pt;width:0pt;height:0pt" type="shapetype_32">
                <w10:wrap type="none"/>
                <v:fill o:detectmouseclick="t" on="false"/>
                <v:stroke color="black" weight="9360" endarrow="block" endarrowwidth="medium" endarrowlength="medium" joinstyle="miter" endcap="flat"/>
              </v:shape>
            </w:pict>
          </mc:Fallback>
        </mc:AlternateContent>
        <mc:AlternateContent>
          <mc:Choice Requires="wps">
            <w:drawing>
              <wp:anchor behindDoc="0" distT="0" distB="0" distL="114300" distR="114300" simplePos="0" locked="0" layoutInCell="1" allowOverlap="1" relativeHeight="28">
                <wp:simplePos x="0" y="0"/>
                <wp:positionH relativeFrom="column">
                  <wp:posOffset>4408805</wp:posOffset>
                </wp:positionH>
                <wp:positionV relativeFrom="paragraph">
                  <wp:posOffset>45085</wp:posOffset>
                </wp:positionV>
                <wp:extent cx="1270" cy="1270"/>
                <wp:effectExtent l="0" t="0" r="0" b="0"/>
                <wp:wrapNone/>
                <wp:docPr id="28" name=""/>
                <a:graphic xmlns:a="http://schemas.openxmlformats.org/drawingml/2006/main">
                  <a:graphicData uri="http://schemas.microsoft.com/office/word/2010/wordprocessingShape">
                    <wps:wsp>
                      <wps:cNvSpPr/>
                      <wps:spPr>
                        <a:xfrm>
                          <a:off x="0" y="0"/>
                          <a:ext cx="720" cy="720"/>
                        </a:xfrm>
                        <a:custGeom>
                          <a:avLst/>
                          <a:gdLst/>
                          <a:ahLst/>
                          <a:rect l="l" t="t" r="r" b="b"/>
                          <a:pathLst>
                            <a:path w="21600" h="21600">
                              <a:moveTo>
                                <a:pt x="0" y="0"/>
                              </a:moveTo>
                              <a:lnTo>
                                <a:pt x="21600" y="21600"/>
                              </a:lnTo>
                            </a:path>
                          </a:pathLst>
                        </a:custGeom>
                        <a:noFill/>
                        <a:ln w="9360">
                          <a:solidFill>
                            <a:srgbClr val="000000"/>
                          </a:solidFill>
                          <a:miter/>
                          <a:tailEnd len="med" type="triangle" w="med"/>
                        </a:ln>
                      </wps:spPr>
                      <wps:style>
                        <a:lnRef idx="0"/>
                        <a:fillRef idx="0"/>
                        <a:effectRef idx="0"/>
                        <a:fontRef idx="minor"/>
                      </wps:style>
                      <wps:bodyPr/>
                    </wps:wsp>
                  </a:graphicData>
                </a:graphic>
              </wp:anchor>
            </w:drawing>
          </mc:Choice>
          <mc:Fallback>
            <w:pict>
              <v:shape id="shape_0" stroked="t" style="position:absolute;margin-left:347.15pt;margin-top:3.55pt;width:0pt;height:0pt" type="shapetype_32">
                <w10:wrap type="none"/>
                <v:fill o:detectmouseclick="t" on="false"/>
                <v:stroke color="black" weight="9360" endarrow="block" endarrowwidth="medium" endarrowlength="medium" joinstyle="miter" endcap="flat"/>
              </v:shape>
            </w:pict>
          </mc:Fallback>
        </mc:AlternateContent>
      </w:r>
      <w:r>
        <w:br w:type="page"/>
      </w:r>
      <w:r>
        <mc:AlternateContent>
          <mc:Choice Requires="wps">
            <w:drawing>
              <wp:anchor behindDoc="0" distT="72390" distB="72390" distL="114935" distR="114935" simplePos="0" locked="0" layoutInCell="1" allowOverlap="1" relativeHeight="29">
                <wp:simplePos x="0" y="0"/>
                <wp:positionH relativeFrom="column">
                  <wp:posOffset>117475</wp:posOffset>
                </wp:positionH>
                <wp:positionV relativeFrom="paragraph">
                  <wp:posOffset>38735</wp:posOffset>
                </wp:positionV>
                <wp:extent cx="5968365" cy="504190"/>
                <wp:effectExtent l="0" t="0" r="0" b="0"/>
                <wp:wrapNone/>
                <wp:docPr id="29" name=""/>
                <a:graphic xmlns:a="http://schemas.openxmlformats.org/drawingml/2006/main">
                  <a:graphicData uri="http://schemas.microsoft.com/office/word/2010/wordprocessingShape">
                    <wps:wsp>
                      <wps:cNvSpPr txBox="1"/>
                      <wps:spPr>
                        <a:xfrm>
                          <a:off x="0" y="0"/>
                          <a:ext cx="5968365" cy="504190"/>
                        </a:xfrm>
                        <a:prstGeom prst="rect"/>
                        <a:solidFill>
                          <a:srgbClr val="FFFFFF"/>
                        </a:solidFill>
                        <a:ln w="635">
                          <a:solidFill>
                            <a:srgbClr val="000000"/>
                          </a:solidFill>
                        </a:ln>
                      </wps:spPr>
                      <wps:txbx>
                        <w:txbxContent>
                          <w:p>
                            <w:pPr>
                              <w:pStyle w:val="Style22"/>
                              <w:numPr>
                                <w:ilvl w:val="0"/>
                                <w:numId w:val="2"/>
                              </w:numPr>
                              <w:jc w:val="center"/>
                              <w:rPr/>
                            </w:pPr>
                            <w:r>
                              <w:rPr>
                                <w:sz w:val="24"/>
                                <w:szCs w:val="24"/>
                              </w:rPr>
                              <w:t>Выдача результата заявителю лично в ОКС администрации (либо по электронной почте, либо по почте) или МФЦ</w:t>
                            </w:r>
                          </w:p>
                        </w:txbxContent>
                      </wps:txbx>
                      <wps:bodyPr anchor="t" lIns="91440" tIns="45720" rIns="91440" bIns="45720">
                        <a:noAutofit/>
                      </wps:bodyPr>
                    </wps:wsp>
                  </a:graphicData>
                </a:graphic>
              </wp:anchor>
            </w:drawing>
          </mc:Choice>
          <mc:Fallback>
            <w:pict>
              <v:rect fillcolor="#FFFFFF" strokecolor="#000000" strokeweight="0pt" style="position:absolute;rotation:0;width:469.95pt;height:39.7pt;mso-wrap-distance-left:9.05pt;mso-wrap-distance-right:9.05pt;mso-wrap-distance-top:5.7pt;mso-wrap-distance-bottom:5.7pt;margin-top:3.05pt;mso-position-vertical-relative:text;margin-left:9.25pt;mso-position-horizontal-relative:text">
                <v:textbox>
                  <w:txbxContent>
                    <w:p>
                      <w:pPr>
                        <w:pStyle w:val="Style22"/>
                        <w:numPr>
                          <w:ilvl w:val="0"/>
                          <w:numId w:val="2"/>
                        </w:numPr>
                        <w:jc w:val="center"/>
                        <w:rPr/>
                      </w:pPr>
                      <w:r>
                        <w:rPr>
                          <w:sz w:val="24"/>
                          <w:szCs w:val="24"/>
                        </w:rPr>
                        <w:t>Выдача результата заявителю лично в ОКС администрации (либо по электронной почте, либо по почте) или МФЦ</w:t>
                      </w:r>
                    </w:p>
                  </w:txbxContent>
                </v:textbox>
              </v:rect>
            </w:pict>
          </mc:Fallback>
        </mc:AlternateContent>
      </w:r>
    </w:p>
    <w:p>
      <w:pPr>
        <w:pStyle w:val="Normal"/>
        <w:numPr>
          <w:ilvl w:val="0"/>
          <w:numId w:val="0"/>
        </w:numPr>
        <w:ind w:left="4536" w:hanging="0"/>
        <w:jc w:val="center"/>
        <w:outlineLvl w:val="0"/>
        <w:rPr>
          <w:color w:val="000000"/>
          <w:sz w:val="24"/>
          <w:szCs w:val="24"/>
        </w:rPr>
      </w:pPr>
      <w:r>
        <w:rPr>
          <w:rFonts w:eastAsia="Calibri"/>
          <w:color w:val="000000"/>
          <w:sz w:val="24"/>
          <w:szCs w:val="24"/>
          <w:lang w:eastAsia="en-US"/>
        </w:rPr>
        <w:t>Приложение № 3</w:t>
      </w:r>
    </w:p>
    <w:p>
      <w:pPr>
        <w:pStyle w:val="Normal"/>
        <w:ind w:left="4536" w:hanging="0"/>
        <w:jc w:val="center"/>
        <w:rPr>
          <w:rFonts w:eastAsia="Calibri"/>
          <w:color w:val="000000"/>
          <w:sz w:val="24"/>
          <w:szCs w:val="24"/>
          <w:lang w:eastAsia="en-US"/>
        </w:rPr>
      </w:pPr>
      <w:r>
        <w:rPr>
          <w:rFonts w:eastAsia="Calibri"/>
          <w:color w:val="000000"/>
          <w:sz w:val="24"/>
          <w:szCs w:val="24"/>
          <w:lang w:eastAsia="en-US"/>
        </w:rPr>
        <w:t>к административному регламенту</w:t>
      </w:r>
    </w:p>
    <w:p>
      <w:pPr>
        <w:pStyle w:val="Normal"/>
        <w:ind w:left="4536" w:hanging="0"/>
        <w:jc w:val="center"/>
        <w:rPr>
          <w:rFonts w:eastAsia="Calibri"/>
          <w:color w:val="000000"/>
          <w:sz w:val="24"/>
          <w:szCs w:val="24"/>
          <w:lang w:eastAsia="en-US"/>
        </w:rPr>
      </w:pPr>
      <w:r>
        <w:rPr>
          <w:rFonts w:eastAsia="Calibri"/>
          <w:color w:val="000000"/>
          <w:sz w:val="24"/>
          <w:szCs w:val="24"/>
          <w:lang w:eastAsia="en-US"/>
        </w:rPr>
        <w:t>по предоставлению муниципальной услуги</w:t>
      </w:r>
    </w:p>
    <w:p>
      <w:pPr>
        <w:pStyle w:val="Normal"/>
        <w:ind w:left="4536" w:hanging="0"/>
        <w:jc w:val="center"/>
        <w:rPr>
          <w:color w:val="000000"/>
          <w:sz w:val="24"/>
          <w:szCs w:val="24"/>
        </w:rPr>
      </w:pPr>
      <w:r>
        <w:rPr>
          <w:rFonts w:eastAsia="Calibri"/>
          <w:color w:val="000000"/>
          <w:sz w:val="24"/>
          <w:szCs w:val="24"/>
          <w:lang w:eastAsia="en-US"/>
        </w:rPr>
        <w:t>«</w:t>
      </w:r>
      <w:r>
        <w:rPr>
          <w:color w:val="000000"/>
          <w:sz w:val="24"/>
          <w:szCs w:val="24"/>
        </w:rPr>
        <w:t>Подготовка и выдача разрешений на ввод объектов в эксплуатацию на территории Шарангского муниципального района Нижегородской области</w:t>
      </w:r>
      <w:r>
        <w:rPr>
          <w:rFonts w:eastAsia="Calibri"/>
          <w:color w:val="000000"/>
          <w:sz w:val="24"/>
          <w:szCs w:val="24"/>
          <w:lang w:eastAsia="en-US"/>
        </w:rPr>
        <w:t>»</w:t>
      </w:r>
    </w:p>
    <w:p>
      <w:pPr>
        <w:pStyle w:val="Normal"/>
        <w:jc w:val="right"/>
        <w:rPr>
          <w:rFonts w:eastAsia="Calibri"/>
          <w:color w:val="000000"/>
          <w:sz w:val="24"/>
          <w:szCs w:val="24"/>
          <w:lang w:eastAsia="en-US"/>
        </w:rPr>
      </w:pPr>
      <w:r>
        <w:rPr>
          <w:rFonts w:eastAsia="Calibri"/>
          <w:color w:val="000000"/>
          <w:sz w:val="24"/>
          <w:szCs w:val="24"/>
          <w:lang w:eastAsia="en-US"/>
        </w:rPr>
      </w:r>
    </w:p>
    <w:p>
      <w:pPr>
        <w:pStyle w:val="Normal"/>
        <w:ind w:right="283" w:hanging="0"/>
        <w:jc w:val="center"/>
        <w:rPr>
          <w:b/>
          <w:b/>
          <w:color w:val="000000"/>
          <w:sz w:val="24"/>
          <w:szCs w:val="24"/>
        </w:rPr>
      </w:pPr>
      <w:r>
        <w:rPr>
          <w:b/>
          <w:color w:val="000000"/>
          <w:sz w:val="24"/>
          <w:szCs w:val="24"/>
        </w:rPr>
        <w:t xml:space="preserve">Акт, </w:t>
      </w:r>
    </w:p>
    <w:p>
      <w:pPr>
        <w:pStyle w:val="Normal"/>
        <w:ind w:right="283" w:hanging="0"/>
        <w:jc w:val="center"/>
        <w:rPr>
          <w:b/>
          <w:b/>
          <w:color w:val="000000"/>
          <w:sz w:val="24"/>
          <w:szCs w:val="24"/>
        </w:rPr>
      </w:pPr>
      <w:r>
        <w:rPr>
          <w:b/>
          <w:color w:val="000000"/>
          <w:sz w:val="24"/>
          <w:szCs w:val="24"/>
        </w:rPr>
        <w:t>подтверждающий соответствие параметров построенного, реконструированного объекта капитального строительства проектной документации,</w:t>
      </w:r>
    </w:p>
    <w:p>
      <w:pPr>
        <w:pStyle w:val="Normal"/>
        <w:ind w:right="283" w:hanging="0"/>
        <w:jc w:val="center"/>
        <w:rPr>
          <w:color w:val="000000"/>
          <w:sz w:val="24"/>
          <w:szCs w:val="24"/>
        </w:rPr>
      </w:pPr>
      <w:r>
        <w:rPr>
          <w:color w:val="000000"/>
          <w:sz w:val="24"/>
          <w:szCs w:val="24"/>
        </w:rPr>
        <w:t>(в том числе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ind w:right="283" w:hanging="0"/>
        <w:jc w:val="both"/>
        <w:rPr>
          <w:rFonts w:ascii="Times New Roman" w:hAnsi="Times New Roman"/>
          <w:color w:val="000000"/>
          <w:sz w:val="24"/>
          <w:szCs w:val="24"/>
        </w:rPr>
      </w:pPr>
      <w:r>
        <w:rPr>
          <w:rFonts w:cs="Times New Roman" w:ascii="Times New Roman" w:hAnsi="Times New Roman"/>
          <w:color w:val="000000"/>
          <w:sz w:val="24"/>
          <w:szCs w:val="24"/>
        </w:rPr>
        <w:t>Подтверждаем соответствие построенного (реконструированного, отремонтированного) объекта ______________________________________________________________________</w:t>
      </w:r>
    </w:p>
    <w:p>
      <w:pPr>
        <w:pStyle w:val="ConsPlusNonformat"/>
        <w:ind w:right="283" w:hanging="0"/>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(наименование объекта, адрес по разрешению на строительство)</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проектной документации _______________________________________________________</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когда и кем утверждена, номер заключения вневедомственной экспертизы)</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_____________________________________________________________________________</w:t>
      </w:r>
    </w:p>
    <w:p>
      <w:pPr>
        <w:pStyle w:val="ConsPlusNonformat"/>
        <w:ind w:right="283" w:hanging="0"/>
        <w:jc w:val="both"/>
        <w:rPr>
          <w:rFonts w:ascii="Times New Roman" w:hAnsi="Times New Roman" w:cs="Times New Roman"/>
          <w:color w:val="000000"/>
          <w:sz w:val="24"/>
          <w:szCs w:val="24"/>
        </w:rPr>
      </w:pPr>
      <w:r>
        <w:rPr>
          <w:rFonts w:cs="Times New Roman" w:ascii="Times New Roman" w:hAnsi="Times New Roman"/>
          <w:color w:val="000000"/>
          <w:sz w:val="24"/>
          <w:szCs w:val="24"/>
        </w:rPr>
        <w:t>и требованиям энергетической эффективности и требованиям оснащенности объекта капитального строительства приборами учета используемых энергетических ресурсов.</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Подписали:</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Лицо, осуществляющее строительство</w:t>
      </w:r>
    </w:p>
    <w:p>
      <w:pPr>
        <w:pStyle w:val="ConsPlusNonformat"/>
        <w:ind w:right="283" w:hanging="0"/>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(должность, фамилия, инициалы)</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______________</w:t>
      </w:r>
    </w:p>
    <w:p>
      <w:pPr>
        <w:pStyle w:val="ConsPlusNonformat"/>
        <w:jc w:val="center"/>
        <w:rPr>
          <w:rFonts w:ascii="Times New Roman" w:hAnsi="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(подпись)</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Лицо, осуществляющее технический надзор</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(должность, фамилия, инициалы)</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(подпись)</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Лицо, осуществляющее авторский надзор (если заключался договор)</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(должность, фамилия, инициалы)</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t>___________________________________________________________________________</w:t>
      </w:r>
    </w:p>
    <w:p>
      <w:pPr>
        <w:pStyle w:val="ConsPlusNonformat"/>
        <w:rPr>
          <w:rFonts w:ascii="Times New Roman" w:hAnsi="Times New Roman" w:cs="Times New Roman"/>
          <w:color w:val="000000"/>
          <w:sz w:val="24"/>
          <w:szCs w:val="24"/>
        </w:rPr>
      </w:pPr>
      <w:r>
        <w:rPr>
          <w:rFonts w:cs="Times New Roman" w:ascii="Times New Roman" w:hAnsi="Times New Roman"/>
          <w:color w:val="000000"/>
          <w:sz w:val="24"/>
          <w:szCs w:val="24"/>
        </w:rPr>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______________</w:t>
      </w:r>
    </w:p>
    <w:p>
      <w:pPr>
        <w:pStyle w:val="ConsPlusNonformat"/>
        <w:jc w:val="center"/>
        <w:rPr>
          <w:rFonts w:ascii="Times New Roman" w:hAnsi="Times New Roman" w:cs="Times New Roman"/>
          <w:color w:val="000000"/>
          <w:sz w:val="24"/>
          <w:szCs w:val="24"/>
        </w:rPr>
      </w:pPr>
      <w:r>
        <w:rPr>
          <w:rFonts w:cs="Times New Roman" w:ascii="Times New Roman" w:hAnsi="Times New Roman"/>
          <w:color w:val="000000"/>
          <w:sz w:val="24"/>
          <w:szCs w:val="24"/>
        </w:rPr>
        <w:t xml:space="preserve"> </w:t>
      </w:r>
      <w:r>
        <w:rPr>
          <w:rFonts w:cs="Times New Roman" w:ascii="Times New Roman" w:hAnsi="Times New Roman"/>
          <w:color w:val="000000"/>
          <w:sz w:val="24"/>
          <w:szCs w:val="24"/>
        </w:rPr>
        <w:t>(подпись)</w:t>
      </w:r>
    </w:p>
    <w:p>
      <w:pPr>
        <w:pStyle w:val="ConsPlusNormal"/>
        <w:ind w:firstLine="540"/>
        <w:jc w:val="center"/>
        <w:rPr/>
      </w:pPr>
      <w:r>
        <w:rPr/>
      </w:r>
    </w:p>
    <w:sectPr>
      <w:headerReference w:type="default" r:id="rId4"/>
      <w:type w:val="nextPage"/>
      <w:pgSz w:w="11906" w:h="16838"/>
      <w:pgMar w:left="1418" w:right="850" w:header="855" w:top="912" w:footer="0" w:bottom="1013" w:gutter="0"/>
      <w:pgNumType w:fmt="decimal"/>
      <w:formProt w:val="false"/>
      <w:textDirection w:val="lrTb"/>
      <w:docGrid w:type="default" w:linePitch="360" w:charSpace="1638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Arial">
    <w:charset w:val="cc"/>
    <w:family w:val="roman"/>
    <w:pitch w:val="variable"/>
  </w:font>
  <w:font w:name="Courier New">
    <w:charset w:val="cc"/>
    <w:family w:val="roman"/>
    <w:pitch w:val="variable"/>
  </w:font>
  <w:font w:name="Wingdings">
    <w:charset w:val="cc"/>
    <w:family w:val="roman"/>
    <w:pitch w:val="variable"/>
  </w:font>
  <w:font w:name="Symbol">
    <w:charset w:val="cc"/>
    <w:family w:val="roman"/>
    <w:pitch w:val="variable"/>
  </w:font>
  <w:font w:name="Tahoma">
    <w:charset w:val="cc"/>
    <w:family w:val="roman"/>
    <w:pitch w:val="variable"/>
  </w:font>
  <w:font w:name="Liberation Sans">
    <w:altName w:val="Arial"/>
    <w:charset w:val="cc"/>
    <w:family w:val="roman"/>
    <w:pitch w:val="variable"/>
  </w:font>
  <w:font w:name="Times New Roman CYR">
    <w:charset w:val="cc"/>
    <w:family w:val="roman"/>
    <w:pitch w:val="variable"/>
  </w:font>
  <w:font w:name="Calibri">
    <w:charset w:val="cc"/>
    <w:family w:val="roman"/>
    <w:pitch w:val="variable"/>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19"/>
      <w:jc w:val="center"/>
      <w:rPr/>
    </w:pPr>
    <w:r>
      <w:rPr/>
      <w:fldChar w:fldCharType="begin"/>
    </w:r>
    <w:r>
      <w:rPr/>
      <w:instrText> PAGE </w:instrText>
    </w:r>
    <w:r>
      <w:rPr/>
      <w:fldChar w:fldCharType="separate"/>
    </w:r>
    <w:r>
      <w:rPr/>
      <w:t>2</w:t>
    </w:r>
    <w:r>
      <w:rPr/>
      <w:fldChar w:fldCharType="end"/>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4">
    <w:lvl w:ilvl="0">
      <w:start w:val="1"/>
      <w:numFmt w:val="bullet"/>
      <w:lvlText w:val=""/>
      <w:lvlJc w:val="left"/>
      <w:pPr>
        <w:ind w:left="1321" w:hanging="360"/>
      </w:pPr>
      <w:rPr>
        <w:rFonts w:ascii="Symbol" w:hAnsi="Symbol" w:cs="Symbol" w:hint="default"/>
        <w:sz w:val="24"/>
        <w:rFonts w:cs="Times New Roman"/>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5">
    <w:lvl w:ilvl="0">
      <w:start w:val="1"/>
      <w:numFmt w:val="bullet"/>
      <w:lvlText w:val=""/>
      <w:lvlJc w:val="left"/>
      <w:pPr>
        <w:ind w:left="1429" w:hanging="360"/>
      </w:pPr>
      <w:rPr>
        <w:rFonts w:ascii="Symbol" w:hAnsi="Symbol" w:cs="Symbol" w:hint="default"/>
        <w:sz w:val="24"/>
        <w:szCs w:val="24"/>
        <w:rFonts w:cs="Symbol"/>
        <w:lang w:eastAsia="en-US"/>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6">
    <w:lvl w:ilvl="0">
      <w:start w:val="1"/>
      <w:numFmt w:val="bullet"/>
      <w:lvlText w:val=""/>
      <w:lvlJc w:val="left"/>
      <w:pPr>
        <w:ind w:left="1429" w:hanging="360"/>
      </w:pPr>
      <w:rPr>
        <w:rFonts w:ascii="Symbol" w:hAnsi="Symbol" w:cs="Symbol" w:hint="default"/>
        <w:sz w:val="28"/>
        <w:rFonts w:cs="Symbol"/>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7">
    <w:lvl w:ilvl="0">
      <w:start w:val="1"/>
      <w:numFmt w:val="bullet"/>
      <w:lvlText w:val=""/>
      <w:lvlJc w:val="left"/>
      <w:pPr>
        <w:ind w:left="1069" w:hanging="360"/>
      </w:pPr>
      <w:rPr>
        <w:rFonts w:ascii="Symbol" w:hAnsi="Symbol" w:cs="Symbol" w:hint="default"/>
        <w:rFonts w:cs="Symbol"/>
      </w:r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w="http://schemas.openxmlformats.org/wordprocessingml/2006/main">
  <w:zoom w:percent="100"/>
  <w:defaultTabStop w:val="709"/>
  <w:autoHyphenation w:val="false"/>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Mangal"/>
        <w:kern w:val="2"/>
        <w:szCs w:val="24"/>
        <w:lang w:val="ru-RU" w:eastAsia="zh-CN" w:bidi="hi-IN"/>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55234d"/>
    <w:pPr>
      <w:widowControl/>
      <w:suppressAutoHyphens w:val="true"/>
      <w:overflowPunct w:val="true"/>
      <w:bidi w:val="0"/>
      <w:jc w:val="left"/>
    </w:pPr>
    <w:rPr>
      <w:rFonts w:ascii="Times New Roman" w:hAnsi="Times New Roman" w:eastAsia="Times New Roman" w:cs="Times New Roman"/>
      <w:color w:val="00000A"/>
      <w:kern w:val="0"/>
      <w:sz w:val="20"/>
      <w:szCs w:val="20"/>
      <w:lang w:bidi="ar-SA" w:val="ru-RU" w:eastAsia="zh-CN"/>
    </w:rPr>
  </w:style>
  <w:style w:type="paragraph" w:styleId="1" w:customStyle="1">
    <w:name w:val="Heading 1"/>
    <w:basedOn w:val="Normal"/>
    <w:qFormat/>
    <w:rsid w:val="0055234d"/>
    <w:pPr>
      <w:keepNext w:val="true"/>
      <w:numPr>
        <w:ilvl w:val="0"/>
        <w:numId w:val="1"/>
      </w:numPr>
      <w:spacing w:lineRule="auto" w:line="216" w:before="40" w:after="0"/>
      <w:jc w:val="center"/>
      <w:outlineLvl w:val="0"/>
    </w:pPr>
    <w:rPr>
      <w:b/>
      <w:kern w:val="2"/>
      <w:sz w:val="32"/>
    </w:rPr>
  </w:style>
  <w:style w:type="paragraph" w:styleId="2" w:customStyle="1">
    <w:name w:val="Heading 2"/>
    <w:basedOn w:val="Normal"/>
    <w:qFormat/>
    <w:rsid w:val="0055234d"/>
    <w:pPr>
      <w:keepNext w:val="true"/>
      <w:numPr>
        <w:ilvl w:val="1"/>
        <w:numId w:val="1"/>
      </w:numPr>
      <w:jc w:val="center"/>
      <w:outlineLvl w:val="1"/>
    </w:pPr>
    <w:rPr>
      <w:rFonts w:ascii="Arial" w:hAnsi="Arial" w:cs="Arial"/>
      <w:sz w:val="24"/>
    </w:rPr>
  </w:style>
  <w:style w:type="paragraph" w:styleId="3" w:customStyle="1">
    <w:name w:val="Heading 3"/>
    <w:basedOn w:val="Normal"/>
    <w:qFormat/>
    <w:rsid w:val="0055234d"/>
    <w:pPr>
      <w:keepNext w:val="true"/>
      <w:numPr>
        <w:ilvl w:val="2"/>
        <w:numId w:val="1"/>
      </w:numPr>
      <w:spacing w:before="40" w:after="40"/>
      <w:jc w:val="center"/>
      <w:outlineLvl w:val="2"/>
    </w:pPr>
    <w:rPr>
      <w:rFonts w:ascii="Arial" w:hAnsi="Arial" w:cs="Arial"/>
      <w:b/>
      <w:bCs/>
      <w:sz w:val="22"/>
    </w:rPr>
  </w:style>
  <w:style w:type="character" w:styleId="DefaultParagraphFont" w:default="1">
    <w:name w:val="Default Paragraph Font"/>
    <w:uiPriority w:val="1"/>
    <w:semiHidden/>
    <w:unhideWhenUsed/>
    <w:qFormat/>
    <w:rPr/>
  </w:style>
  <w:style w:type="character" w:styleId="WW8Num1z0" w:customStyle="1">
    <w:name w:val="WW8Num1z0"/>
    <w:qFormat/>
    <w:rsid w:val="0055234d"/>
    <w:rPr/>
  </w:style>
  <w:style w:type="character" w:styleId="WW8Num1z1" w:customStyle="1">
    <w:name w:val="WW8Num1z1"/>
    <w:qFormat/>
    <w:rsid w:val="0055234d"/>
    <w:rPr/>
  </w:style>
  <w:style w:type="character" w:styleId="WW8Num1z2" w:customStyle="1">
    <w:name w:val="WW8Num1z2"/>
    <w:qFormat/>
    <w:rsid w:val="0055234d"/>
    <w:rPr/>
  </w:style>
  <w:style w:type="character" w:styleId="WW8Num1z3" w:customStyle="1">
    <w:name w:val="WW8Num1z3"/>
    <w:qFormat/>
    <w:rsid w:val="0055234d"/>
    <w:rPr/>
  </w:style>
  <w:style w:type="character" w:styleId="WW8Num1z4" w:customStyle="1">
    <w:name w:val="WW8Num1z4"/>
    <w:qFormat/>
    <w:rsid w:val="0055234d"/>
    <w:rPr/>
  </w:style>
  <w:style w:type="character" w:styleId="WW8Num1z5" w:customStyle="1">
    <w:name w:val="WW8Num1z5"/>
    <w:qFormat/>
    <w:rsid w:val="0055234d"/>
    <w:rPr/>
  </w:style>
  <w:style w:type="character" w:styleId="WW8Num1z6" w:customStyle="1">
    <w:name w:val="WW8Num1z6"/>
    <w:qFormat/>
    <w:rsid w:val="0055234d"/>
    <w:rPr/>
  </w:style>
  <w:style w:type="character" w:styleId="WW8Num1z7" w:customStyle="1">
    <w:name w:val="WW8Num1z7"/>
    <w:qFormat/>
    <w:rsid w:val="0055234d"/>
    <w:rPr/>
  </w:style>
  <w:style w:type="character" w:styleId="WW8Num1z8" w:customStyle="1">
    <w:name w:val="WW8Num1z8"/>
    <w:qFormat/>
    <w:rsid w:val="0055234d"/>
    <w:rPr/>
  </w:style>
  <w:style w:type="character" w:styleId="WW8Num2z0" w:customStyle="1">
    <w:name w:val="WW8Num2z0"/>
    <w:qFormat/>
    <w:rsid w:val="0055234d"/>
    <w:rPr/>
  </w:style>
  <w:style w:type="character" w:styleId="WW8Num2z1" w:customStyle="1">
    <w:name w:val="WW8Num2z1"/>
    <w:qFormat/>
    <w:rsid w:val="0055234d"/>
    <w:rPr/>
  </w:style>
  <w:style w:type="character" w:styleId="WW8Num2z2" w:customStyle="1">
    <w:name w:val="WW8Num2z2"/>
    <w:qFormat/>
    <w:rsid w:val="0055234d"/>
    <w:rPr/>
  </w:style>
  <w:style w:type="character" w:styleId="WW8Num2z3" w:customStyle="1">
    <w:name w:val="WW8Num2z3"/>
    <w:qFormat/>
    <w:rsid w:val="0055234d"/>
    <w:rPr/>
  </w:style>
  <w:style w:type="character" w:styleId="WW8Num2z4" w:customStyle="1">
    <w:name w:val="WW8Num2z4"/>
    <w:qFormat/>
    <w:rsid w:val="0055234d"/>
    <w:rPr/>
  </w:style>
  <w:style w:type="character" w:styleId="WW8Num2z5" w:customStyle="1">
    <w:name w:val="WW8Num2z5"/>
    <w:qFormat/>
    <w:rsid w:val="0055234d"/>
    <w:rPr/>
  </w:style>
  <w:style w:type="character" w:styleId="WW8Num2z6" w:customStyle="1">
    <w:name w:val="WW8Num2z6"/>
    <w:qFormat/>
    <w:rsid w:val="0055234d"/>
    <w:rPr/>
  </w:style>
  <w:style w:type="character" w:styleId="WW8Num2z7" w:customStyle="1">
    <w:name w:val="WW8Num2z7"/>
    <w:qFormat/>
    <w:rsid w:val="0055234d"/>
    <w:rPr/>
  </w:style>
  <w:style w:type="character" w:styleId="WW8Num2z8" w:customStyle="1">
    <w:name w:val="WW8Num2z8"/>
    <w:qFormat/>
    <w:rsid w:val="0055234d"/>
    <w:rPr/>
  </w:style>
  <w:style w:type="character" w:styleId="WW8Num3z0" w:customStyle="1">
    <w:name w:val="WW8Num3z0"/>
    <w:qFormat/>
    <w:rsid w:val="0055234d"/>
    <w:rPr/>
  </w:style>
  <w:style w:type="character" w:styleId="WW8Num3z1" w:customStyle="1">
    <w:name w:val="WW8Num3z1"/>
    <w:qFormat/>
    <w:rsid w:val="0055234d"/>
    <w:rPr/>
  </w:style>
  <w:style w:type="character" w:styleId="WW8Num3z2" w:customStyle="1">
    <w:name w:val="WW8Num3z2"/>
    <w:qFormat/>
    <w:rsid w:val="0055234d"/>
    <w:rPr/>
  </w:style>
  <w:style w:type="character" w:styleId="WW8Num3z3" w:customStyle="1">
    <w:name w:val="WW8Num3z3"/>
    <w:qFormat/>
    <w:rsid w:val="0055234d"/>
    <w:rPr/>
  </w:style>
  <w:style w:type="character" w:styleId="WW8Num3z4" w:customStyle="1">
    <w:name w:val="WW8Num3z4"/>
    <w:qFormat/>
    <w:rsid w:val="0055234d"/>
    <w:rPr/>
  </w:style>
  <w:style w:type="character" w:styleId="WW8Num3z5" w:customStyle="1">
    <w:name w:val="WW8Num3z5"/>
    <w:qFormat/>
    <w:rsid w:val="0055234d"/>
    <w:rPr/>
  </w:style>
  <w:style w:type="character" w:styleId="WW8Num3z6" w:customStyle="1">
    <w:name w:val="WW8Num3z6"/>
    <w:qFormat/>
    <w:rsid w:val="0055234d"/>
    <w:rPr/>
  </w:style>
  <w:style w:type="character" w:styleId="WW8Num3z7" w:customStyle="1">
    <w:name w:val="WW8Num3z7"/>
    <w:qFormat/>
    <w:rsid w:val="0055234d"/>
    <w:rPr/>
  </w:style>
  <w:style w:type="character" w:styleId="WW8Num3z8" w:customStyle="1">
    <w:name w:val="WW8Num3z8"/>
    <w:qFormat/>
    <w:rsid w:val="0055234d"/>
    <w:rPr/>
  </w:style>
  <w:style w:type="character" w:styleId="WW8Num4z0" w:customStyle="1">
    <w:name w:val="WW8Num4z0"/>
    <w:qFormat/>
    <w:rsid w:val="0055234d"/>
    <w:rPr>
      <w:rFonts w:ascii="Times New Roman" w:hAnsi="Times New Roman" w:eastAsia="Times New Roman" w:cs="Times New Roman"/>
    </w:rPr>
  </w:style>
  <w:style w:type="character" w:styleId="WW8Num4z1" w:customStyle="1">
    <w:name w:val="WW8Num4z1"/>
    <w:qFormat/>
    <w:rsid w:val="0055234d"/>
    <w:rPr>
      <w:rFonts w:ascii="Courier New" w:hAnsi="Courier New" w:cs="Courier New"/>
    </w:rPr>
  </w:style>
  <w:style w:type="character" w:styleId="WW8Num4z2" w:customStyle="1">
    <w:name w:val="WW8Num4z2"/>
    <w:qFormat/>
    <w:rsid w:val="0055234d"/>
    <w:rPr>
      <w:rFonts w:ascii="Wingdings" w:hAnsi="Wingdings" w:cs="Wingdings"/>
    </w:rPr>
  </w:style>
  <w:style w:type="character" w:styleId="WW8Num4z3" w:customStyle="1">
    <w:name w:val="WW8Num4z3"/>
    <w:qFormat/>
    <w:rsid w:val="0055234d"/>
    <w:rPr>
      <w:rFonts w:ascii="Symbol" w:hAnsi="Symbol" w:cs="Symbol"/>
    </w:rPr>
  </w:style>
  <w:style w:type="character" w:styleId="WW8Num5z0" w:customStyle="1">
    <w:name w:val="WW8Num5z0"/>
    <w:qFormat/>
    <w:rsid w:val="0055234d"/>
    <w:rPr/>
  </w:style>
  <w:style w:type="character" w:styleId="WW8Num6z0" w:customStyle="1">
    <w:name w:val="WW8Num6z0"/>
    <w:qFormat/>
    <w:rsid w:val="0055234d"/>
    <w:rPr/>
  </w:style>
  <w:style w:type="character" w:styleId="WW8Num6z1" w:customStyle="1">
    <w:name w:val="WW8Num6z1"/>
    <w:qFormat/>
    <w:rsid w:val="0055234d"/>
    <w:rPr/>
  </w:style>
  <w:style w:type="character" w:styleId="WW8Num6z2" w:customStyle="1">
    <w:name w:val="WW8Num6z2"/>
    <w:qFormat/>
    <w:rsid w:val="0055234d"/>
    <w:rPr/>
  </w:style>
  <w:style w:type="character" w:styleId="WW8Num6z3" w:customStyle="1">
    <w:name w:val="WW8Num6z3"/>
    <w:qFormat/>
    <w:rsid w:val="0055234d"/>
    <w:rPr/>
  </w:style>
  <w:style w:type="character" w:styleId="WW8Num6z4" w:customStyle="1">
    <w:name w:val="WW8Num6z4"/>
    <w:qFormat/>
    <w:rsid w:val="0055234d"/>
    <w:rPr/>
  </w:style>
  <w:style w:type="character" w:styleId="WW8Num6z5" w:customStyle="1">
    <w:name w:val="WW8Num6z5"/>
    <w:qFormat/>
    <w:rsid w:val="0055234d"/>
    <w:rPr/>
  </w:style>
  <w:style w:type="character" w:styleId="WW8Num6z6" w:customStyle="1">
    <w:name w:val="WW8Num6z6"/>
    <w:qFormat/>
    <w:rsid w:val="0055234d"/>
    <w:rPr/>
  </w:style>
  <w:style w:type="character" w:styleId="WW8Num6z7" w:customStyle="1">
    <w:name w:val="WW8Num6z7"/>
    <w:qFormat/>
    <w:rsid w:val="0055234d"/>
    <w:rPr/>
  </w:style>
  <w:style w:type="character" w:styleId="WW8Num6z8" w:customStyle="1">
    <w:name w:val="WW8Num6z8"/>
    <w:qFormat/>
    <w:rsid w:val="0055234d"/>
    <w:rPr/>
  </w:style>
  <w:style w:type="character" w:styleId="WW8Num7z0" w:customStyle="1">
    <w:name w:val="WW8Num7z0"/>
    <w:qFormat/>
    <w:rsid w:val="0055234d"/>
    <w:rPr/>
  </w:style>
  <w:style w:type="character" w:styleId="WW8Num7z1" w:customStyle="1">
    <w:name w:val="WW8Num7z1"/>
    <w:qFormat/>
    <w:rsid w:val="0055234d"/>
    <w:rPr/>
  </w:style>
  <w:style w:type="character" w:styleId="WW8Num7z2" w:customStyle="1">
    <w:name w:val="WW8Num7z2"/>
    <w:qFormat/>
    <w:rsid w:val="0055234d"/>
    <w:rPr/>
  </w:style>
  <w:style w:type="character" w:styleId="WW8Num7z3" w:customStyle="1">
    <w:name w:val="WW8Num7z3"/>
    <w:qFormat/>
    <w:rsid w:val="0055234d"/>
    <w:rPr/>
  </w:style>
  <w:style w:type="character" w:styleId="WW8Num7z4" w:customStyle="1">
    <w:name w:val="WW8Num7z4"/>
    <w:qFormat/>
    <w:rsid w:val="0055234d"/>
    <w:rPr/>
  </w:style>
  <w:style w:type="character" w:styleId="WW8Num7z5" w:customStyle="1">
    <w:name w:val="WW8Num7z5"/>
    <w:qFormat/>
    <w:rsid w:val="0055234d"/>
    <w:rPr/>
  </w:style>
  <w:style w:type="character" w:styleId="WW8Num7z6" w:customStyle="1">
    <w:name w:val="WW8Num7z6"/>
    <w:qFormat/>
    <w:rsid w:val="0055234d"/>
    <w:rPr/>
  </w:style>
  <w:style w:type="character" w:styleId="WW8Num7z7" w:customStyle="1">
    <w:name w:val="WW8Num7z7"/>
    <w:qFormat/>
    <w:rsid w:val="0055234d"/>
    <w:rPr/>
  </w:style>
  <w:style w:type="character" w:styleId="WW8Num7z8" w:customStyle="1">
    <w:name w:val="WW8Num7z8"/>
    <w:qFormat/>
    <w:rsid w:val="0055234d"/>
    <w:rPr/>
  </w:style>
  <w:style w:type="character" w:styleId="WW8Num8z0" w:customStyle="1">
    <w:name w:val="WW8Num8z0"/>
    <w:qFormat/>
    <w:rsid w:val="0055234d"/>
    <w:rPr/>
  </w:style>
  <w:style w:type="character" w:styleId="WW8Num8z1" w:customStyle="1">
    <w:name w:val="WW8Num8z1"/>
    <w:qFormat/>
    <w:rsid w:val="0055234d"/>
    <w:rPr/>
  </w:style>
  <w:style w:type="character" w:styleId="WW8Num8z2" w:customStyle="1">
    <w:name w:val="WW8Num8z2"/>
    <w:qFormat/>
    <w:rsid w:val="0055234d"/>
    <w:rPr/>
  </w:style>
  <w:style w:type="character" w:styleId="WW8Num8z3" w:customStyle="1">
    <w:name w:val="WW8Num8z3"/>
    <w:qFormat/>
    <w:rsid w:val="0055234d"/>
    <w:rPr/>
  </w:style>
  <w:style w:type="character" w:styleId="WW8Num8z4" w:customStyle="1">
    <w:name w:val="WW8Num8z4"/>
    <w:qFormat/>
    <w:rsid w:val="0055234d"/>
    <w:rPr/>
  </w:style>
  <w:style w:type="character" w:styleId="WW8Num8z5" w:customStyle="1">
    <w:name w:val="WW8Num8z5"/>
    <w:qFormat/>
    <w:rsid w:val="0055234d"/>
    <w:rPr/>
  </w:style>
  <w:style w:type="character" w:styleId="WW8Num8z6" w:customStyle="1">
    <w:name w:val="WW8Num8z6"/>
    <w:qFormat/>
    <w:rsid w:val="0055234d"/>
    <w:rPr/>
  </w:style>
  <w:style w:type="character" w:styleId="WW8Num8z7" w:customStyle="1">
    <w:name w:val="WW8Num8z7"/>
    <w:qFormat/>
    <w:rsid w:val="0055234d"/>
    <w:rPr/>
  </w:style>
  <w:style w:type="character" w:styleId="WW8Num8z8" w:customStyle="1">
    <w:name w:val="WW8Num8z8"/>
    <w:qFormat/>
    <w:rsid w:val="0055234d"/>
    <w:rPr/>
  </w:style>
  <w:style w:type="character" w:styleId="WW8Num9z0" w:customStyle="1">
    <w:name w:val="WW8Num9z0"/>
    <w:qFormat/>
    <w:rsid w:val="0055234d"/>
    <w:rPr/>
  </w:style>
  <w:style w:type="character" w:styleId="WW8Num10z0" w:customStyle="1">
    <w:name w:val="WW8Num10z0"/>
    <w:qFormat/>
    <w:rsid w:val="0055234d"/>
    <w:rPr/>
  </w:style>
  <w:style w:type="character" w:styleId="WW8Num10z1" w:customStyle="1">
    <w:name w:val="WW8Num10z1"/>
    <w:qFormat/>
    <w:rsid w:val="0055234d"/>
    <w:rPr/>
  </w:style>
  <w:style w:type="character" w:styleId="WW8Num10z2" w:customStyle="1">
    <w:name w:val="WW8Num10z2"/>
    <w:qFormat/>
    <w:rsid w:val="0055234d"/>
    <w:rPr/>
  </w:style>
  <w:style w:type="character" w:styleId="WW8Num10z3" w:customStyle="1">
    <w:name w:val="WW8Num10z3"/>
    <w:qFormat/>
    <w:rsid w:val="0055234d"/>
    <w:rPr/>
  </w:style>
  <w:style w:type="character" w:styleId="WW8Num10z4" w:customStyle="1">
    <w:name w:val="WW8Num10z4"/>
    <w:qFormat/>
    <w:rsid w:val="0055234d"/>
    <w:rPr/>
  </w:style>
  <w:style w:type="character" w:styleId="WW8Num10z5" w:customStyle="1">
    <w:name w:val="WW8Num10z5"/>
    <w:qFormat/>
    <w:rsid w:val="0055234d"/>
    <w:rPr/>
  </w:style>
  <w:style w:type="character" w:styleId="WW8Num10z6" w:customStyle="1">
    <w:name w:val="WW8Num10z6"/>
    <w:qFormat/>
    <w:rsid w:val="0055234d"/>
    <w:rPr/>
  </w:style>
  <w:style w:type="character" w:styleId="WW8Num10z7" w:customStyle="1">
    <w:name w:val="WW8Num10z7"/>
    <w:qFormat/>
    <w:rsid w:val="0055234d"/>
    <w:rPr/>
  </w:style>
  <w:style w:type="character" w:styleId="WW8Num10z8" w:customStyle="1">
    <w:name w:val="WW8Num10z8"/>
    <w:qFormat/>
    <w:rsid w:val="0055234d"/>
    <w:rPr/>
  </w:style>
  <w:style w:type="character" w:styleId="WW8Num11z0" w:customStyle="1">
    <w:name w:val="WW8Num11z0"/>
    <w:qFormat/>
    <w:rsid w:val="0055234d"/>
    <w:rPr/>
  </w:style>
  <w:style w:type="character" w:styleId="WW8Num11z1" w:customStyle="1">
    <w:name w:val="WW8Num11z1"/>
    <w:qFormat/>
    <w:rsid w:val="0055234d"/>
    <w:rPr/>
  </w:style>
  <w:style w:type="character" w:styleId="WW8Num11z2" w:customStyle="1">
    <w:name w:val="WW8Num11z2"/>
    <w:qFormat/>
    <w:rsid w:val="0055234d"/>
    <w:rPr/>
  </w:style>
  <w:style w:type="character" w:styleId="WW8Num11z3" w:customStyle="1">
    <w:name w:val="WW8Num11z3"/>
    <w:qFormat/>
    <w:rsid w:val="0055234d"/>
    <w:rPr/>
  </w:style>
  <w:style w:type="character" w:styleId="WW8Num11z4" w:customStyle="1">
    <w:name w:val="WW8Num11z4"/>
    <w:qFormat/>
    <w:rsid w:val="0055234d"/>
    <w:rPr/>
  </w:style>
  <w:style w:type="character" w:styleId="WW8Num11z5" w:customStyle="1">
    <w:name w:val="WW8Num11z5"/>
    <w:qFormat/>
    <w:rsid w:val="0055234d"/>
    <w:rPr/>
  </w:style>
  <w:style w:type="character" w:styleId="WW8Num11z6" w:customStyle="1">
    <w:name w:val="WW8Num11z6"/>
    <w:qFormat/>
    <w:rsid w:val="0055234d"/>
    <w:rPr/>
  </w:style>
  <w:style w:type="character" w:styleId="WW8Num11z7" w:customStyle="1">
    <w:name w:val="WW8Num11z7"/>
    <w:qFormat/>
    <w:rsid w:val="0055234d"/>
    <w:rPr/>
  </w:style>
  <w:style w:type="character" w:styleId="WW8Num11z8" w:customStyle="1">
    <w:name w:val="WW8Num11z8"/>
    <w:qFormat/>
    <w:rsid w:val="0055234d"/>
    <w:rPr/>
  </w:style>
  <w:style w:type="character" w:styleId="WW8Num12z0" w:customStyle="1">
    <w:name w:val="WW8Num12z0"/>
    <w:qFormat/>
    <w:rsid w:val="0055234d"/>
    <w:rPr/>
  </w:style>
  <w:style w:type="character" w:styleId="WW8Num12z1" w:customStyle="1">
    <w:name w:val="WW8Num12z1"/>
    <w:qFormat/>
    <w:rsid w:val="0055234d"/>
    <w:rPr/>
  </w:style>
  <w:style w:type="character" w:styleId="WW8Num12z2" w:customStyle="1">
    <w:name w:val="WW8Num12z2"/>
    <w:qFormat/>
    <w:rsid w:val="0055234d"/>
    <w:rPr/>
  </w:style>
  <w:style w:type="character" w:styleId="WW8Num12z3" w:customStyle="1">
    <w:name w:val="WW8Num12z3"/>
    <w:qFormat/>
    <w:rsid w:val="0055234d"/>
    <w:rPr/>
  </w:style>
  <w:style w:type="character" w:styleId="WW8Num12z4" w:customStyle="1">
    <w:name w:val="WW8Num12z4"/>
    <w:qFormat/>
    <w:rsid w:val="0055234d"/>
    <w:rPr/>
  </w:style>
  <w:style w:type="character" w:styleId="WW8Num12z5" w:customStyle="1">
    <w:name w:val="WW8Num12z5"/>
    <w:qFormat/>
    <w:rsid w:val="0055234d"/>
    <w:rPr/>
  </w:style>
  <w:style w:type="character" w:styleId="WW8Num12z6" w:customStyle="1">
    <w:name w:val="WW8Num12z6"/>
    <w:qFormat/>
    <w:rsid w:val="0055234d"/>
    <w:rPr/>
  </w:style>
  <w:style w:type="character" w:styleId="WW8Num12z7" w:customStyle="1">
    <w:name w:val="WW8Num12z7"/>
    <w:qFormat/>
    <w:rsid w:val="0055234d"/>
    <w:rPr/>
  </w:style>
  <w:style w:type="character" w:styleId="WW8Num12z8" w:customStyle="1">
    <w:name w:val="WW8Num12z8"/>
    <w:qFormat/>
    <w:rsid w:val="0055234d"/>
    <w:rPr/>
  </w:style>
  <w:style w:type="character" w:styleId="WW8Num13z0" w:customStyle="1">
    <w:name w:val="WW8Num13z0"/>
    <w:qFormat/>
    <w:rsid w:val="0055234d"/>
    <w:rPr/>
  </w:style>
  <w:style w:type="character" w:styleId="WW8Num13z1" w:customStyle="1">
    <w:name w:val="WW8Num13z1"/>
    <w:qFormat/>
    <w:rsid w:val="0055234d"/>
    <w:rPr/>
  </w:style>
  <w:style w:type="character" w:styleId="WW8Num13z2" w:customStyle="1">
    <w:name w:val="WW8Num13z2"/>
    <w:qFormat/>
    <w:rsid w:val="0055234d"/>
    <w:rPr/>
  </w:style>
  <w:style w:type="character" w:styleId="WW8Num13z3" w:customStyle="1">
    <w:name w:val="WW8Num13z3"/>
    <w:qFormat/>
    <w:rsid w:val="0055234d"/>
    <w:rPr/>
  </w:style>
  <w:style w:type="character" w:styleId="WW8Num13z4" w:customStyle="1">
    <w:name w:val="WW8Num13z4"/>
    <w:qFormat/>
    <w:rsid w:val="0055234d"/>
    <w:rPr/>
  </w:style>
  <w:style w:type="character" w:styleId="WW8Num13z5" w:customStyle="1">
    <w:name w:val="WW8Num13z5"/>
    <w:qFormat/>
    <w:rsid w:val="0055234d"/>
    <w:rPr/>
  </w:style>
  <w:style w:type="character" w:styleId="WW8Num13z6" w:customStyle="1">
    <w:name w:val="WW8Num13z6"/>
    <w:qFormat/>
    <w:rsid w:val="0055234d"/>
    <w:rPr/>
  </w:style>
  <w:style w:type="character" w:styleId="WW8Num13z7" w:customStyle="1">
    <w:name w:val="WW8Num13z7"/>
    <w:qFormat/>
    <w:rsid w:val="0055234d"/>
    <w:rPr/>
  </w:style>
  <w:style w:type="character" w:styleId="WW8Num13z8" w:customStyle="1">
    <w:name w:val="WW8Num13z8"/>
    <w:qFormat/>
    <w:rsid w:val="0055234d"/>
    <w:rPr/>
  </w:style>
  <w:style w:type="character" w:styleId="WW8Num14z0" w:customStyle="1">
    <w:name w:val="WW8Num14z0"/>
    <w:qFormat/>
    <w:rsid w:val="0055234d"/>
    <w:rPr/>
  </w:style>
  <w:style w:type="character" w:styleId="WW8Num15z0" w:customStyle="1">
    <w:name w:val="WW8Num15z0"/>
    <w:qFormat/>
    <w:rsid w:val="0055234d"/>
    <w:rPr>
      <w:sz w:val="28"/>
    </w:rPr>
  </w:style>
  <w:style w:type="character" w:styleId="WW8Num15z1" w:customStyle="1">
    <w:name w:val="WW8Num15z1"/>
    <w:qFormat/>
    <w:rsid w:val="0055234d"/>
    <w:rPr/>
  </w:style>
  <w:style w:type="character" w:styleId="WW8Num15z2" w:customStyle="1">
    <w:name w:val="WW8Num15z2"/>
    <w:qFormat/>
    <w:rsid w:val="0055234d"/>
    <w:rPr/>
  </w:style>
  <w:style w:type="character" w:styleId="WW8Num15z3" w:customStyle="1">
    <w:name w:val="WW8Num15z3"/>
    <w:qFormat/>
    <w:rsid w:val="0055234d"/>
    <w:rPr/>
  </w:style>
  <w:style w:type="character" w:styleId="WW8Num15z4" w:customStyle="1">
    <w:name w:val="WW8Num15z4"/>
    <w:qFormat/>
    <w:rsid w:val="0055234d"/>
    <w:rPr/>
  </w:style>
  <w:style w:type="character" w:styleId="WW8Num15z5" w:customStyle="1">
    <w:name w:val="WW8Num15z5"/>
    <w:qFormat/>
    <w:rsid w:val="0055234d"/>
    <w:rPr/>
  </w:style>
  <w:style w:type="character" w:styleId="WW8Num15z6" w:customStyle="1">
    <w:name w:val="WW8Num15z6"/>
    <w:qFormat/>
    <w:rsid w:val="0055234d"/>
    <w:rPr/>
  </w:style>
  <w:style w:type="character" w:styleId="WW8Num15z7" w:customStyle="1">
    <w:name w:val="WW8Num15z7"/>
    <w:qFormat/>
    <w:rsid w:val="0055234d"/>
    <w:rPr/>
  </w:style>
  <w:style w:type="character" w:styleId="WW8Num15z8" w:customStyle="1">
    <w:name w:val="WW8Num15z8"/>
    <w:qFormat/>
    <w:rsid w:val="0055234d"/>
    <w:rPr/>
  </w:style>
  <w:style w:type="character" w:styleId="WW8Num16z0" w:customStyle="1">
    <w:name w:val="WW8Num16z0"/>
    <w:qFormat/>
    <w:rsid w:val="0055234d"/>
    <w:rPr/>
  </w:style>
  <w:style w:type="character" w:styleId="WW8Num16z1" w:customStyle="1">
    <w:name w:val="WW8Num16z1"/>
    <w:qFormat/>
    <w:rsid w:val="0055234d"/>
    <w:rPr/>
  </w:style>
  <w:style w:type="character" w:styleId="WW8Num16z2" w:customStyle="1">
    <w:name w:val="WW8Num16z2"/>
    <w:qFormat/>
    <w:rsid w:val="0055234d"/>
    <w:rPr/>
  </w:style>
  <w:style w:type="character" w:styleId="WW8Num16z3" w:customStyle="1">
    <w:name w:val="WW8Num16z3"/>
    <w:qFormat/>
    <w:rsid w:val="0055234d"/>
    <w:rPr/>
  </w:style>
  <w:style w:type="character" w:styleId="WW8Num16z4" w:customStyle="1">
    <w:name w:val="WW8Num16z4"/>
    <w:qFormat/>
    <w:rsid w:val="0055234d"/>
    <w:rPr/>
  </w:style>
  <w:style w:type="character" w:styleId="WW8Num16z5" w:customStyle="1">
    <w:name w:val="WW8Num16z5"/>
    <w:qFormat/>
    <w:rsid w:val="0055234d"/>
    <w:rPr/>
  </w:style>
  <w:style w:type="character" w:styleId="WW8Num16z6" w:customStyle="1">
    <w:name w:val="WW8Num16z6"/>
    <w:qFormat/>
    <w:rsid w:val="0055234d"/>
    <w:rPr/>
  </w:style>
  <w:style w:type="character" w:styleId="WW8Num16z7" w:customStyle="1">
    <w:name w:val="WW8Num16z7"/>
    <w:qFormat/>
    <w:rsid w:val="0055234d"/>
    <w:rPr/>
  </w:style>
  <w:style w:type="character" w:styleId="WW8Num16z8" w:customStyle="1">
    <w:name w:val="WW8Num16z8"/>
    <w:qFormat/>
    <w:rsid w:val="0055234d"/>
    <w:rPr/>
  </w:style>
  <w:style w:type="character" w:styleId="WW8Num17z0" w:customStyle="1">
    <w:name w:val="WW8Num17z0"/>
    <w:qFormat/>
    <w:rsid w:val="0055234d"/>
    <w:rPr/>
  </w:style>
  <w:style w:type="character" w:styleId="WW8Num17z1" w:customStyle="1">
    <w:name w:val="WW8Num17z1"/>
    <w:qFormat/>
    <w:rsid w:val="0055234d"/>
    <w:rPr/>
  </w:style>
  <w:style w:type="character" w:styleId="WW8Num17z2" w:customStyle="1">
    <w:name w:val="WW8Num17z2"/>
    <w:qFormat/>
    <w:rsid w:val="0055234d"/>
    <w:rPr/>
  </w:style>
  <w:style w:type="character" w:styleId="WW8Num17z3" w:customStyle="1">
    <w:name w:val="WW8Num17z3"/>
    <w:qFormat/>
    <w:rsid w:val="0055234d"/>
    <w:rPr/>
  </w:style>
  <w:style w:type="character" w:styleId="WW8Num17z4" w:customStyle="1">
    <w:name w:val="WW8Num17z4"/>
    <w:qFormat/>
    <w:rsid w:val="0055234d"/>
    <w:rPr/>
  </w:style>
  <w:style w:type="character" w:styleId="WW8Num17z5" w:customStyle="1">
    <w:name w:val="WW8Num17z5"/>
    <w:qFormat/>
    <w:rsid w:val="0055234d"/>
    <w:rPr/>
  </w:style>
  <w:style w:type="character" w:styleId="WW8Num17z6" w:customStyle="1">
    <w:name w:val="WW8Num17z6"/>
    <w:qFormat/>
    <w:rsid w:val="0055234d"/>
    <w:rPr/>
  </w:style>
  <w:style w:type="character" w:styleId="WW8Num17z7" w:customStyle="1">
    <w:name w:val="WW8Num17z7"/>
    <w:qFormat/>
    <w:rsid w:val="0055234d"/>
    <w:rPr/>
  </w:style>
  <w:style w:type="character" w:styleId="WW8Num17z8" w:customStyle="1">
    <w:name w:val="WW8Num17z8"/>
    <w:qFormat/>
    <w:rsid w:val="0055234d"/>
    <w:rPr/>
  </w:style>
  <w:style w:type="character" w:styleId="WW8Num18z0" w:customStyle="1">
    <w:name w:val="WW8Num18z0"/>
    <w:qFormat/>
    <w:rsid w:val="0055234d"/>
    <w:rPr/>
  </w:style>
  <w:style w:type="character" w:styleId="WW8Num19z0" w:customStyle="1">
    <w:name w:val="WW8Num19z0"/>
    <w:qFormat/>
    <w:rsid w:val="0055234d"/>
    <w:rPr/>
  </w:style>
  <w:style w:type="character" w:styleId="WW8Num19z1" w:customStyle="1">
    <w:name w:val="WW8Num19z1"/>
    <w:qFormat/>
    <w:rsid w:val="0055234d"/>
    <w:rPr/>
  </w:style>
  <w:style w:type="character" w:styleId="WW8Num19z2" w:customStyle="1">
    <w:name w:val="WW8Num19z2"/>
    <w:qFormat/>
    <w:rsid w:val="0055234d"/>
    <w:rPr/>
  </w:style>
  <w:style w:type="character" w:styleId="WW8Num19z3" w:customStyle="1">
    <w:name w:val="WW8Num19z3"/>
    <w:qFormat/>
    <w:rsid w:val="0055234d"/>
    <w:rPr/>
  </w:style>
  <w:style w:type="character" w:styleId="WW8Num19z4" w:customStyle="1">
    <w:name w:val="WW8Num19z4"/>
    <w:qFormat/>
    <w:rsid w:val="0055234d"/>
    <w:rPr/>
  </w:style>
  <w:style w:type="character" w:styleId="WW8Num19z5" w:customStyle="1">
    <w:name w:val="WW8Num19z5"/>
    <w:qFormat/>
    <w:rsid w:val="0055234d"/>
    <w:rPr/>
  </w:style>
  <w:style w:type="character" w:styleId="WW8Num19z6" w:customStyle="1">
    <w:name w:val="WW8Num19z6"/>
    <w:qFormat/>
    <w:rsid w:val="0055234d"/>
    <w:rPr/>
  </w:style>
  <w:style w:type="character" w:styleId="WW8Num19z7" w:customStyle="1">
    <w:name w:val="WW8Num19z7"/>
    <w:qFormat/>
    <w:rsid w:val="0055234d"/>
    <w:rPr/>
  </w:style>
  <w:style w:type="character" w:styleId="WW8Num19z8" w:customStyle="1">
    <w:name w:val="WW8Num19z8"/>
    <w:qFormat/>
    <w:rsid w:val="0055234d"/>
    <w:rPr/>
  </w:style>
  <w:style w:type="character" w:styleId="WW8Num20z0" w:customStyle="1">
    <w:name w:val="WW8Num20z0"/>
    <w:qFormat/>
    <w:rsid w:val="0055234d"/>
    <w:rPr/>
  </w:style>
  <w:style w:type="character" w:styleId="WW8Num21z0" w:customStyle="1">
    <w:name w:val="WW8Num21z0"/>
    <w:qFormat/>
    <w:rsid w:val="0055234d"/>
    <w:rPr>
      <w:rFonts w:ascii="Times New Roman" w:hAnsi="Times New Roman" w:eastAsia="Times New Roman" w:cs="Times New Roman"/>
    </w:rPr>
  </w:style>
  <w:style w:type="character" w:styleId="WW8Num21z1" w:customStyle="1">
    <w:name w:val="WW8Num21z1"/>
    <w:qFormat/>
    <w:rsid w:val="0055234d"/>
    <w:rPr>
      <w:rFonts w:ascii="Courier New" w:hAnsi="Courier New" w:cs="Courier New"/>
    </w:rPr>
  </w:style>
  <w:style w:type="character" w:styleId="WW8Num21z2" w:customStyle="1">
    <w:name w:val="WW8Num21z2"/>
    <w:qFormat/>
    <w:rsid w:val="0055234d"/>
    <w:rPr>
      <w:rFonts w:ascii="Wingdings" w:hAnsi="Wingdings" w:cs="Wingdings"/>
    </w:rPr>
  </w:style>
  <w:style w:type="character" w:styleId="WW8Num21z3" w:customStyle="1">
    <w:name w:val="WW8Num21z3"/>
    <w:qFormat/>
    <w:rsid w:val="0055234d"/>
    <w:rPr>
      <w:rFonts w:ascii="Symbol" w:hAnsi="Symbol" w:cs="Symbol"/>
    </w:rPr>
  </w:style>
  <w:style w:type="character" w:styleId="WW8NumSt18z0" w:customStyle="1">
    <w:name w:val="WW8NumSt18z0"/>
    <w:qFormat/>
    <w:rsid w:val="0055234d"/>
    <w:rPr>
      <w:rFonts w:ascii="Times New Roman" w:hAnsi="Times New Roman" w:cs="Times New Roman"/>
    </w:rPr>
  </w:style>
  <w:style w:type="character" w:styleId="Pagenumber">
    <w:name w:val="page number"/>
    <w:basedOn w:val="DefaultParagraphFont"/>
    <w:qFormat/>
    <w:rsid w:val="0055234d"/>
    <w:rPr/>
  </w:style>
  <w:style w:type="character" w:styleId="Style11" w:customStyle="1">
    <w:name w:val="Текст выноски Знак"/>
    <w:qFormat/>
    <w:rsid w:val="0055234d"/>
    <w:rPr>
      <w:rFonts w:ascii="Tahoma" w:hAnsi="Tahoma" w:cs="Tahoma"/>
      <w:sz w:val="16"/>
      <w:szCs w:val="16"/>
    </w:rPr>
  </w:style>
  <w:style w:type="character" w:styleId="FontStyle12" w:customStyle="1">
    <w:name w:val="Font Style12"/>
    <w:qFormat/>
    <w:rsid w:val="0055234d"/>
    <w:rPr>
      <w:rFonts w:ascii="Times New Roman" w:hAnsi="Times New Roman" w:cs="Times New Roman"/>
      <w:sz w:val="24"/>
      <w:szCs w:val="24"/>
    </w:rPr>
  </w:style>
  <w:style w:type="character" w:styleId="FontStyle11" w:customStyle="1">
    <w:name w:val="Font Style11"/>
    <w:qFormat/>
    <w:rsid w:val="0055234d"/>
    <w:rPr>
      <w:rFonts w:ascii="Times New Roman" w:hAnsi="Times New Roman" w:cs="Times New Roman"/>
      <w:sz w:val="26"/>
      <w:szCs w:val="26"/>
    </w:rPr>
  </w:style>
  <w:style w:type="character" w:styleId="FontStyle13" w:customStyle="1">
    <w:name w:val="Font Style13"/>
    <w:basedOn w:val="DefaultParagraphFont"/>
    <w:qFormat/>
    <w:rsid w:val="0055234d"/>
    <w:rPr>
      <w:rFonts w:ascii="Times New Roman" w:hAnsi="Times New Roman" w:cs="Times New Roman"/>
      <w:sz w:val="26"/>
      <w:szCs w:val="26"/>
    </w:rPr>
  </w:style>
  <w:style w:type="character" w:styleId="HTML" w:customStyle="1">
    <w:name w:val="Стандартный HTML Знак"/>
    <w:basedOn w:val="DefaultParagraphFont"/>
    <w:link w:val="HTML"/>
    <w:uiPriority w:val="99"/>
    <w:qFormat/>
    <w:rsid w:val="00256045"/>
    <w:rPr>
      <w:rFonts w:ascii="Courier New" w:hAnsi="Courier New" w:eastAsia="Times New Roman" w:cs="Courier New"/>
      <w:sz w:val="20"/>
      <w:szCs w:val="20"/>
      <w:lang w:eastAsia="ru-RU" w:bidi="ar-SA"/>
    </w:rPr>
  </w:style>
  <w:style w:type="character" w:styleId="FontStyle14" w:customStyle="1">
    <w:name w:val="Font Style14"/>
    <w:basedOn w:val="DefaultParagraphFont"/>
    <w:qFormat/>
    <w:rsid w:val="00d14479"/>
    <w:rPr>
      <w:rFonts w:ascii="Times New Roman" w:hAnsi="Times New Roman" w:cs="Times New Roman"/>
      <w:sz w:val="26"/>
      <w:szCs w:val="26"/>
    </w:rPr>
  </w:style>
  <w:style w:type="character" w:styleId="WW8Num25z0" w:customStyle="1">
    <w:name w:val="WW8Num25z0"/>
    <w:qFormat/>
    <w:rsid w:val="00d14479"/>
    <w:rPr>
      <w:rFonts w:ascii="Symbol" w:hAnsi="Symbol" w:eastAsia="Calibri" w:cs="Symbol"/>
      <w:sz w:val="24"/>
      <w:szCs w:val="24"/>
      <w:lang w:eastAsia="en-US"/>
    </w:rPr>
  </w:style>
  <w:style w:type="character" w:styleId="WW8Num25z1" w:customStyle="1">
    <w:name w:val="WW8Num25z1"/>
    <w:qFormat/>
    <w:rsid w:val="00d14479"/>
    <w:rPr>
      <w:rFonts w:ascii="Courier New" w:hAnsi="Courier New" w:cs="Courier New"/>
    </w:rPr>
  </w:style>
  <w:style w:type="character" w:styleId="WW8Num25z2" w:customStyle="1">
    <w:name w:val="WW8Num25z2"/>
    <w:qFormat/>
    <w:rsid w:val="00d14479"/>
    <w:rPr>
      <w:rFonts w:ascii="Wingdings" w:hAnsi="Wingdings" w:cs="Wingdings"/>
    </w:rPr>
  </w:style>
  <w:style w:type="character" w:styleId="Style12" w:customStyle="1">
    <w:name w:val="Интернет-ссылка"/>
    <w:rsid w:val="00d14479"/>
    <w:rPr>
      <w:color w:val="000080"/>
      <w:u w:val="single"/>
    </w:rPr>
  </w:style>
  <w:style w:type="character" w:styleId="ListLabel1">
    <w:name w:val="ListLabel 1"/>
    <w:qFormat/>
    <w:rPr>
      <w:rFonts w:ascii="Times New Roman" w:hAnsi="Times New Roman" w:cs="Times New Roman"/>
      <w:sz w:val="24"/>
    </w:rPr>
  </w:style>
  <w:style w:type="character" w:styleId="ListLabel2">
    <w:name w:val="ListLabel 2"/>
    <w:qFormat/>
    <w:rPr>
      <w:rFonts w:ascii="Times New Roman" w:hAnsi="Times New Roman" w:cs="Symbol"/>
      <w:sz w:val="24"/>
      <w:szCs w:val="24"/>
      <w:lang w:eastAsia="en-US"/>
    </w:rPr>
  </w:style>
  <w:style w:type="character" w:styleId="ListLabel3">
    <w:name w:val="ListLabel 3"/>
    <w:qFormat/>
    <w:rPr>
      <w:rFonts w:cs="Symbol"/>
      <w:sz w:val="28"/>
    </w:rPr>
  </w:style>
  <w:style w:type="character" w:styleId="ListLabel4">
    <w:name w:val="ListLabel 4"/>
    <w:qFormat/>
    <w:rPr>
      <w:rFonts w:cs="Symbol"/>
    </w:rPr>
  </w:style>
  <w:style w:type="paragraph" w:styleId="Style13" w:customStyle="1">
    <w:name w:val="Заголовок"/>
    <w:basedOn w:val="Normal"/>
    <w:next w:val="Style14"/>
    <w:qFormat/>
    <w:rsid w:val="0055234d"/>
    <w:pPr>
      <w:keepNext w:val="true"/>
      <w:spacing w:before="240" w:after="120"/>
    </w:pPr>
    <w:rPr>
      <w:rFonts w:ascii="Liberation Sans;Arial" w:hAnsi="Liberation Sans;Arial" w:eastAsia="Microsoft YaHei" w:cs="Mangal"/>
      <w:sz w:val="28"/>
      <w:szCs w:val="28"/>
    </w:rPr>
  </w:style>
  <w:style w:type="paragraph" w:styleId="Style14">
    <w:name w:val="Body Text"/>
    <w:basedOn w:val="Normal"/>
    <w:rsid w:val="0055234d"/>
    <w:pPr>
      <w:spacing w:lineRule="auto" w:line="360"/>
      <w:jc w:val="center"/>
    </w:pPr>
    <w:rPr>
      <w:rFonts w:ascii="Arial" w:hAnsi="Arial" w:cs="Arial"/>
      <w:b/>
      <w:sz w:val="28"/>
    </w:rPr>
  </w:style>
  <w:style w:type="paragraph" w:styleId="Style15">
    <w:name w:val="List"/>
    <w:basedOn w:val="Style14"/>
    <w:rsid w:val="0055234d"/>
    <w:pPr/>
    <w:rPr>
      <w:rFonts w:cs="Mangal"/>
    </w:rPr>
  </w:style>
  <w:style w:type="paragraph" w:styleId="Style16" w:customStyle="1">
    <w:name w:val="Caption"/>
    <w:basedOn w:val="Normal"/>
    <w:qFormat/>
    <w:rsid w:val="0055234d"/>
    <w:pPr>
      <w:suppressLineNumbers/>
      <w:spacing w:before="120" w:after="120"/>
    </w:pPr>
    <w:rPr>
      <w:rFonts w:cs="Mangal"/>
      <w:i/>
      <w:iCs/>
      <w:sz w:val="24"/>
      <w:szCs w:val="24"/>
    </w:rPr>
  </w:style>
  <w:style w:type="paragraph" w:styleId="Style17">
    <w:name w:val="Указатель"/>
    <w:basedOn w:val="Normal"/>
    <w:qFormat/>
    <w:pPr>
      <w:suppressLineNumbers/>
    </w:pPr>
    <w:rPr>
      <w:rFonts w:cs="Mangal"/>
    </w:rPr>
  </w:style>
  <w:style w:type="paragraph" w:styleId="Indexheading">
    <w:name w:val="index heading"/>
    <w:basedOn w:val="Normal"/>
    <w:qFormat/>
    <w:rsid w:val="0055234d"/>
    <w:pPr>
      <w:suppressLineNumbers/>
    </w:pPr>
    <w:rPr>
      <w:rFonts w:cs="Mangal"/>
    </w:rPr>
  </w:style>
  <w:style w:type="paragraph" w:styleId="14" w:customStyle="1">
    <w:name w:val="Загл.14"/>
    <w:basedOn w:val="Normal"/>
    <w:qFormat/>
    <w:rsid w:val="0055234d"/>
    <w:pPr>
      <w:jc w:val="center"/>
    </w:pPr>
    <w:rPr>
      <w:b/>
      <w:sz w:val="28"/>
    </w:rPr>
  </w:style>
  <w:style w:type="paragraph" w:styleId="Style18">
    <w:name w:val="Body Text Indent"/>
    <w:basedOn w:val="Normal"/>
    <w:rsid w:val="0055234d"/>
    <w:pPr>
      <w:spacing w:before="60" w:after="0"/>
      <w:ind w:firstLine="708"/>
      <w:jc w:val="both"/>
    </w:pPr>
    <w:rPr>
      <w:rFonts w:ascii="Arial" w:hAnsi="Arial" w:cs="Arial"/>
      <w:sz w:val="26"/>
    </w:rPr>
  </w:style>
  <w:style w:type="paragraph" w:styleId="BodyTextIndent2">
    <w:name w:val="Body Text Indent 2"/>
    <w:basedOn w:val="Normal"/>
    <w:qFormat/>
    <w:rsid w:val="0055234d"/>
    <w:pPr>
      <w:spacing w:lineRule="auto" w:line="288"/>
      <w:ind w:firstLine="709"/>
      <w:jc w:val="both"/>
    </w:pPr>
    <w:rPr>
      <w:rFonts w:ascii="Arial" w:hAnsi="Arial" w:cs="Arial"/>
      <w:sz w:val="26"/>
    </w:rPr>
  </w:style>
  <w:style w:type="paragraph" w:styleId="Style19" w:customStyle="1">
    <w:name w:val="Header"/>
    <w:basedOn w:val="Normal"/>
    <w:rsid w:val="0055234d"/>
    <w:pPr>
      <w:tabs>
        <w:tab w:val="clear" w:pos="709"/>
        <w:tab w:val="center" w:pos="4677" w:leader="none"/>
        <w:tab w:val="right" w:pos="9355" w:leader="none"/>
      </w:tabs>
    </w:pPr>
    <w:rPr/>
  </w:style>
  <w:style w:type="paragraph" w:styleId="BodyText2">
    <w:name w:val="Body Text 2"/>
    <w:basedOn w:val="Normal"/>
    <w:qFormat/>
    <w:rsid w:val="0055234d"/>
    <w:pPr>
      <w:jc w:val="center"/>
    </w:pPr>
    <w:rPr>
      <w:rFonts w:ascii="Arial" w:hAnsi="Arial" w:cs="Arial"/>
      <w:sz w:val="24"/>
    </w:rPr>
  </w:style>
  <w:style w:type="paragraph" w:styleId="BodyText3">
    <w:name w:val="Body Text 3"/>
    <w:basedOn w:val="Normal"/>
    <w:qFormat/>
    <w:rsid w:val="0055234d"/>
    <w:pPr>
      <w:jc w:val="center"/>
    </w:pPr>
    <w:rPr>
      <w:rFonts w:ascii="Arial" w:hAnsi="Arial" w:cs="Arial"/>
      <w:b/>
      <w:bCs/>
      <w:sz w:val="26"/>
    </w:rPr>
  </w:style>
  <w:style w:type="paragraph" w:styleId="PlainText">
    <w:name w:val="Plain Text"/>
    <w:basedOn w:val="Normal"/>
    <w:qFormat/>
    <w:rsid w:val="0055234d"/>
    <w:pPr/>
    <w:rPr>
      <w:rFonts w:ascii="Courier New" w:hAnsi="Courier New" w:cs="Courier New"/>
    </w:rPr>
  </w:style>
  <w:style w:type="paragraph" w:styleId="BodyTextIndent3">
    <w:name w:val="Body Text Indent 3"/>
    <w:basedOn w:val="Normal"/>
    <w:qFormat/>
    <w:rsid w:val="0055234d"/>
    <w:pPr>
      <w:spacing w:before="40" w:after="0"/>
      <w:ind w:firstLine="708"/>
      <w:jc w:val="both"/>
    </w:pPr>
    <w:rPr>
      <w:rFonts w:ascii="Arial" w:hAnsi="Arial" w:eastAsia="MS Mincho;ＭＳ 明朝" w:cs="Arial"/>
      <w:sz w:val="24"/>
    </w:rPr>
  </w:style>
  <w:style w:type="paragraph" w:styleId="1415" w:customStyle="1">
    <w:name w:val="14-15"/>
    <w:basedOn w:val="Normal"/>
    <w:qFormat/>
    <w:rsid w:val="0055234d"/>
    <w:pPr>
      <w:spacing w:lineRule="auto" w:line="360"/>
      <w:ind w:firstLine="720"/>
      <w:jc w:val="both"/>
    </w:pPr>
    <w:rPr>
      <w:rFonts w:ascii="Times New Roman CYR" w:hAnsi="Times New Roman CYR" w:cs="Times New Roman CYR"/>
      <w:spacing w:val="4"/>
      <w:sz w:val="28"/>
    </w:rPr>
  </w:style>
  <w:style w:type="paragraph" w:styleId="Style20" w:customStyle="1">
    <w:name w:val="Footer"/>
    <w:basedOn w:val="Normal"/>
    <w:rsid w:val="0055234d"/>
    <w:pPr>
      <w:tabs>
        <w:tab w:val="clear" w:pos="709"/>
        <w:tab w:val="center" w:pos="4677" w:leader="none"/>
        <w:tab w:val="right" w:pos="9355" w:leader="none"/>
      </w:tabs>
    </w:pPr>
    <w:rPr/>
  </w:style>
  <w:style w:type="paragraph" w:styleId="141" w:customStyle="1">
    <w:name w:val="Текст14-1"/>
    <w:basedOn w:val="Normal"/>
    <w:qFormat/>
    <w:rsid w:val="0055234d"/>
    <w:pPr>
      <w:spacing w:lineRule="auto" w:line="360"/>
      <w:ind w:firstLine="720"/>
      <w:jc w:val="both"/>
    </w:pPr>
    <w:rPr>
      <w:sz w:val="28"/>
    </w:rPr>
  </w:style>
  <w:style w:type="paragraph" w:styleId="BalloonText">
    <w:name w:val="Balloon Text"/>
    <w:basedOn w:val="Normal"/>
    <w:qFormat/>
    <w:rsid w:val="0055234d"/>
    <w:pPr/>
    <w:rPr>
      <w:rFonts w:ascii="Tahoma" w:hAnsi="Tahoma" w:cs="Tahoma"/>
      <w:sz w:val="16"/>
      <w:szCs w:val="16"/>
    </w:rPr>
  </w:style>
  <w:style w:type="paragraph" w:styleId="Style110" w:customStyle="1">
    <w:name w:val="Style1"/>
    <w:basedOn w:val="Normal"/>
    <w:qFormat/>
    <w:rsid w:val="0055234d"/>
    <w:pPr>
      <w:widowControl w:val="false"/>
      <w:spacing w:lineRule="exact" w:line="326"/>
      <w:jc w:val="both"/>
    </w:pPr>
    <w:rPr>
      <w:sz w:val="24"/>
      <w:szCs w:val="24"/>
    </w:rPr>
  </w:style>
  <w:style w:type="paragraph" w:styleId="Style41" w:customStyle="1">
    <w:name w:val="Style4"/>
    <w:basedOn w:val="Normal"/>
    <w:qFormat/>
    <w:rsid w:val="0055234d"/>
    <w:pPr>
      <w:widowControl w:val="false"/>
      <w:spacing w:lineRule="exact" w:line="331"/>
      <w:ind w:firstLine="898"/>
      <w:jc w:val="both"/>
    </w:pPr>
    <w:rPr>
      <w:sz w:val="24"/>
      <w:szCs w:val="24"/>
    </w:rPr>
  </w:style>
  <w:style w:type="paragraph" w:styleId="Style51" w:customStyle="1">
    <w:name w:val="Style5"/>
    <w:basedOn w:val="Normal"/>
    <w:qFormat/>
    <w:rsid w:val="0055234d"/>
    <w:pPr>
      <w:widowControl w:val="false"/>
      <w:spacing w:lineRule="exact" w:line="326"/>
      <w:ind w:firstLine="926"/>
    </w:pPr>
    <w:rPr>
      <w:sz w:val="24"/>
      <w:szCs w:val="24"/>
    </w:rPr>
  </w:style>
  <w:style w:type="paragraph" w:styleId="NoSpacing">
    <w:name w:val="No Spacing"/>
    <w:qFormat/>
    <w:rsid w:val="00d14479"/>
    <w:pPr>
      <w:widowControl/>
      <w:bidi w:val="0"/>
      <w:jc w:val="left"/>
    </w:pPr>
    <w:rPr>
      <w:rFonts w:ascii="Times New Roman" w:hAnsi="Times New Roman" w:eastAsia="Times New Roman" w:cs="Times New Roman"/>
      <w:color w:val="auto"/>
      <w:kern w:val="2"/>
      <w:sz w:val="20"/>
      <w:szCs w:val="20"/>
      <w:lang w:bidi="ar-SA" w:val="ru-RU" w:eastAsia="zh-CN"/>
    </w:rPr>
  </w:style>
  <w:style w:type="paragraph" w:styleId="ConsPlusNormal" w:customStyle="1">
    <w:name w:val="ConsPlusNormal"/>
    <w:qFormat/>
    <w:rsid w:val="0055234d"/>
    <w:pPr>
      <w:widowControl w:val="false"/>
      <w:suppressAutoHyphens w:val="true"/>
      <w:overflowPunct w:val="true"/>
      <w:bidi w:val="0"/>
      <w:ind w:firstLine="720"/>
      <w:jc w:val="left"/>
    </w:pPr>
    <w:rPr>
      <w:rFonts w:ascii="Arial" w:hAnsi="Arial" w:eastAsia="Times New Roman" w:cs="Arial"/>
      <w:color w:val="00000A"/>
      <w:kern w:val="0"/>
      <w:sz w:val="20"/>
      <w:szCs w:val="20"/>
      <w:lang w:bidi="ar-SA" w:val="ru-RU" w:eastAsia="zh-CN"/>
    </w:rPr>
  </w:style>
  <w:style w:type="paragraph" w:styleId="Style21" w:customStyle="1">
    <w:name w:val="Style2"/>
    <w:basedOn w:val="Normal"/>
    <w:qFormat/>
    <w:rsid w:val="0055234d"/>
    <w:pPr>
      <w:widowControl w:val="false"/>
      <w:spacing w:lineRule="exact" w:line="374"/>
    </w:pPr>
    <w:rPr>
      <w:sz w:val="24"/>
      <w:szCs w:val="24"/>
    </w:rPr>
  </w:style>
  <w:style w:type="paragraph" w:styleId="Style31" w:customStyle="1">
    <w:name w:val="Style3"/>
    <w:basedOn w:val="Normal"/>
    <w:qFormat/>
    <w:rsid w:val="0055234d"/>
    <w:pPr>
      <w:widowControl w:val="false"/>
      <w:spacing w:lineRule="exact" w:line="374"/>
      <w:ind w:hanging="350"/>
    </w:pPr>
    <w:rPr>
      <w:sz w:val="24"/>
      <w:szCs w:val="24"/>
    </w:rPr>
  </w:style>
  <w:style w:type="paragraph" w:styleId="ListParagraph">
    <w:name w:val="List Paragraph"/>
    <w:basedOn w:val="Normal"/>
    <w:qFormat/>
    <w:rsid w:val="00d14479"/>
    <w:pPr>
      <w:spacing w:lineRule="auto" w:line="276" w:before="0" w:after="200"/>
      <w:ind w:left="720" w:hanging="0"/>
      <w:contextualSpacing/>
    </w:pPr>
    <w:rPr>
      <w:rFonts w:ascii="Calibri" w:hAnsi="Calibri" w:eastAsia="Calibri"/>
      <w:sz w:val="22"/>
      <w:szCs w:val="22"/>
    </w:rPr>
  </w:style>
  <w:style w:type="paragraph" w:styleId="Style22" w:customStyle="1">
    <w:name w:val="Содержимое врезки"/>
    <w:basedOn w:val="Normal"/>
    <w:qFormat/>
    <w:rsid w:val="0055234d"/>
    <w:pPr/>
    <w:rPr/>
  </w:style>
  <w:style w:type="paragraph" w:styleId="Western" w:customStyle="1">
    <w:name w:val="western"/>
    <w:basedOn w:val="Normal"/>
    <w:qFormat/>
    <w:rsid w:val="0055234d"/>
    <w:pPr>
      <w:spacing w:before="100" w:after="100"/>
    </w:pPr>
    <w:rPr>
      <w:sz w:val="24"/>
      <w:szCs w:val="24"/>
    </w:rPr>
  </w:style>
  <w:style w:type="paragraph" w:styleId="HTMLPreformatted">
    <w:name w:val="HTML Preformatted"/>
    <w:basedOn w:val="Normal"/>
    <w:uiPriority w:val="99"/>
    <w:unhideWhenUsed/>
    <w:qFormat/>
    <w:rsid w:val="00256045"/>
    <w:pPr>
      <w:tabs>
        <w:tab w:val="clear" w:pos="709"/>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uppressAutoHyphens w:val="false"/>
    </w:pPr>
    <w:rPr>
      <w:rFonts w:ascii="Courier New" w:hAnsi="Courier New" w:cs="Courier New"/>
      <w:color w:val="auto"/>
      <w:lang w:eastAsia="ru-RU"/>
    </w:rPr>
  </w:style>
  <w:style w:type="paragraph" w:styleId="Formattext" w:customStyle="1">
    <w:name w:val="formattext"/>
    <w:basedOn w:val="Normal"/>
    <w:qFormat/>
    <w:rsid w:val="00256045"/>
    <w:pPr>
      <w:suppressAutoHyphens w:val="false"/>
      <w:spacing w:beforeAutospacing="1" w:afterAutospacing="1"/>
    </w:pPr>
    <w:rPr>
      <w:color w:val="auto"/>
      <w:sz w:val="24"/>
      <w:szCs w:val="24"/>
      <w:lang w:eastAsia="ru-RU"/>
    </w:rPr>
  </w:style>
  <w:style w:type="paragraph" w:styleId="ConsPlusTitle" w:customStyle="1">
    <w:name w:val="ConsPlusTitle"/>
    <w:qFormat/>
    <w:rsid w:val="00d14479"/>
    <w:pPr>
      <w:widowControl w:val="false"/>
      <w:bidi w:val="0"/>
      <w:jc w:val="left"/>
    </w:pPr>
    <w:rPr>
      <w:rFonts w:ascii="Times New Roman" w:hAnsi="Times New Roman" w:eastAsia="Times New Roman" w:cs="Times New Roman"/>
      <w:b/>
      <w:color w:val="auto"/>
      <w:kern w:val="2"/>
      <w:sz w:val="28"/>
      <w:szCs w:val="20"/>
      <w:lang w:bidi="ar-SA" w:val="ru-RU" w:eastAsia="zh-CN"/>
    </w:rPr>
  </w:style>
  <w:style w:type="paragraph" w:styleId="ConsPlusNonformat" w:customStyle="1">
    <w:name w:val="ConsPlusNonformat"/>
    <w:qFormat/>
    <w:rsid w:val="00d14479"/>
    <w:pPr>
      <w:widowControl w:val="false"/>
      <w:bidi w:val="0"/>
      <w:jc w:val="left"/>
    </w:pPr>
    <w:rPr>
      <w:rFonts w:ascii="Courier New" w:hAnsi="Courier New" w:eastAsia="Times New Roman" w:cs="Courier New"/>
      <w:color w:val="auto"/>
      <w:kern w:val="2"/>
      <w:sz w:val="20"/>
      <w:szCs w:val="20"/>
      <w:lang w:bidi="ar-SA" w:val="ru-RU" w:eastAsia="zh-CN"/>
    </w:rPr>
  </w:style>
  <w:style w:type="numbering" w:styleId="NoList" w:default="1">
    <w:name w:val="No List"/>
    <w:uiPriority w:val="99"/>
    <w:semiHidden/>
    <w:unhideWhenUsed/>
    <w:qFormat/>
  </w:style>
  <w:style w:type="numbering" w:styleId="WW8Num1" w:customStyle="1">
    <w:name w:val="WW8Num1"/>
    <w:qFormat/>
    <w:rsid w:val="0055234d"/>
  </w:style>
  <w:style w:type="numbering" w:styleId="WW8Num16" w:customStyle="1">
    <w:name w:val="WW8Num16"/>
    <w:qFormat/>
    <w:rsid w:val="0055234d"/>
  </w:style>
  <w:style w:type="numbering" w:styleId="WW8Num6" w:customStyle="1">
    <w:name w:val="WW8Num6"/>
    <w:qFormat/>
    <w:rsid w:val="00d14479"/>
  </w:style>
  <w:style w:type="numbering" w:styleId="WW8Num4" w:customStyle="1">
    <w:name w:val="WW8Num4"/>
    <w:qFormat/>
    <w:rsid w:val="00d14479"/>
  </w:style>
  <w:style w:type="numbering" w:styleId="WW8Num25" w:customStyle="1">
    <w:name w:val="WW8Num25"/>
    <w:qFormat/>
    <w:rsid w:val="00d14479"/>
  </w:style>
  <w:style w:type="numbering" w:styleId="WW8Num15" w:customStyle="1">
    <w:name w:val="WW8Num15"/>
    <w:qFormat/>
    <w:rsid w:val="00d14479"/>
  </w:style>
  <w:style w:type="numbering" w:styleId="WW8Num10" w:customStyle="1">
    <w:name w:val="WW8Num10"/>
    <w:qFormat/>
    <w:rsid w:val="00d14479"/>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table" w:styleId="af">
    <w:name w:val="Table Grid"/>
    <w:basedOn w:val="a1"/>
    <w:uiPriority w:val="59"/>
    <w:rsid w:val="00861f26"/>
    <w:rPr>
      <w:rFonts w:asciiTheme="minorHAnsi" w:hAnsiTheme="minorHAnsi" w:eastAsiaTheme="minorHAnsi" w:cstheme="minorBidi"/>
      <w:lang w:eastAsia="en-US" w:bidi="ar-SA"/>
      <w:sz w:val="22"/>
      <w:szCs w:val="22"/>
    </w:r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eader" Target="header1.xml"/><Relationship Id="rId4" Type="http://schemas.openxmlformats.org/officeDocument/2006/relationships/header" Target="header2.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Application>LibreOffice/6.2.3.2$Windows_X86_64 LibreOffice_project/aecc05fe267cc68dde00352a451aa867b3b546ac</Application>
  <Pages>25</Pages>
  <Words>8298</Words>
  <Characters>66438</Characters>
  <CharactersWithSpaces>74374</CharactersWithSpaces>
  <Paragraphs>459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2017-01-10T09:37:00Z</dcterms:created>
  <dc:creator>Катышева Е. В.</dc:creator>
  <dc:description/>
  <dc:language>ru-RU</dc:language>
  <cp:lastModifiedBy/>
  <cp:lastPrinted>2019-05-28T14:15:00Z</cp:lastPrinted>
  <dcterms:modified xsi:type="dcterms:W3CDTF">2019-05-28T14:17:07Z</dcterms:modified>
  <cp:revision>69</cp:revision>
  <dc:subject/>
  <dc:title>ПОСТАНОВЛЕНИЕ</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Microsoft</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