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09"/>
          <w:tab w:val="left" w:pos="8789" w:leader="none"/>
        </w:tabs>
        <w:rPr/>
      </w:pPr>
      <w:r>
        <w:rPr>
          <w:sz w:val="28"/>
          <w:szCs w:val="28"/>
        </w:rPr>
        <w:t>от 12.04.2019</w:t>
        <w:tab/>
      </w:r>
      <w:r>
        <w:rPr>
          <w:sz w:val="28"/>
          <w:szCs w:val="28"/>
          <w:lang w:val="en-US"/>
        </w:rPr>
        <w:t>N</w:t>
      </w:r>
      <w:r>
        <w:rPr>
          <w:sz w:val="28"/>
          <w:szCs w:val="28"/>
        </w:rPr>
        <w:t xml:space="preserve"> 212</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pacing w:lineRule="auto" w:line="240" w:before="0" w:after="0"/>
        <w:ind w:left="1134" w:right="1133" w:hanging="0"/>
        <w:jc w:val="center"/>
        <w:rPr/>
      </w:pPr>
      <w:r>
        <w:rPr>
          <w:rFonts w:eastAsia="Times New Roman" w:cs="Times New Roman"/>
          <w:b/>
          <w:color w:val="000000"/>
          <w:sz w:val="28"/>
          <w:szCs w:val="28"/>
          <w:lang w:eastAsia="ru-RU"/>
        </w:rPr>
        <w:t xml:space="preserve">Об утверждении Правил персонифицированного финансирования дополнительного образования детей в </w:t>
      </w:r>
      <w:r>
        <w:rPr>
          <w:rFonts w:eastAsia="Times New Roman" w:cs="Times New Roman"/>
          <w:b/>
          <w:spacing w:val="2"/>
          <w:sz w:val="28"/>
          <w:szCs w:val="28"/>
          <w:lang w:eastAsia="ru-RU"/>
        </w:rPr>
        <w:t>Шарангском муниципальном районе Нижегородской области</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hd w:val="clear" w:color="auto" w:fill="FFFFFF"/>
        <w:spacing w:lineRule="auto" w:line="360" w:before="0" w:after="0"/>
        <w:ind w:left="0" w:right="0" w:firstLine="709"/>
        <w:jc w:val="both"/>
        <w:textAlignment w:val="baseline"/>
        <w:outlineLvl w:val="1"/>
        <w:rPr/>
      </w:pPr>
      <w:r>
        <w:rPr>
          <w:rFonts w:eastAsia="Times New Roman" w:cs="Times New Roman"/>
          <w:color w:val="000000"/>
          <w:sz w:val="28"/>
          <w:szCs w:val="28"/>
          <w:lang w:eastAsia="ru-RU"/>
        </w:rPr>
        <w:t xml:space="preserve">В целях обеспечения реализации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руководствуясь Уставом Шарангского муниципального района Нижегородской области, администрация Шарангского муниципального района </w:t>
      </w:r>
      <w:r>
        <w:rPr>
          <w:rFonts w:eastAsia="Times New Roman" w:cs="Times New Roman"/>
          <w:b/>
          <w:bCs/>
          <w:color w:val="000000"/>
          <w:sz w:val="28"/>
          <w:szCs w:val="28"/>
          <w:lang w:eastAsia="ru-RU"/>
        </w:rPr>
        <w:t>п о с т а н о в л я е т:</w:t>
      </w:r>
    </w:p>
    <w:p>
      <w:pPr>
        <w:pStyle w:val="Normal"/>
        <w:numPr>
          <w:ilvl w:val="0"/>
          <w:numId w:val="2"/>
        </w:numPr>
        <w:tabs>
          <w:tab w:val="clear" w:pos="709"/>
          <w:tab w:val="left" w:pos="426" w:leader="none"/>
        </w:tabs>
        <w:spacing w:lineRule="auto" w:line="360" w:before="0" w:after="0"/>
        <w:ind w:left="0" w:right="0" w:firstLine="709"/>
        <w:jc w:val="both"/>
        <w:rPr/>
      </w:pPr>
      <w:r>
        <w:rPr>
          <w:rFonts w:eastAsia="Times New Roman" w:cs="Times New Roman"/>
          <w:color w:val="000000"/>
          <w:sz w:val="28"/>
          <w:szCs w:val="28"/>
          <w:lang w:eastAsia="ru-RU"/>
        </w:rPr>
        <w:t xml:space="preserve">1. Обеспечить внедрение с 1 сентября 2019 года на территории Шарангского муниципального района Нижегородской области модели персонифицированного финансирования дополнительного образования детей. </w:t>
      </w:r>
    </w:p>
    <w:p>
      <w:pPr>
        <w:pStyle w:val="Normal"/>
        <w:numPr>
          <w:ilvl w:val="0"/>
          <w:numId w:val="2"/>
        </w:numPr>
        <w:tabs>
          <w:tab w:val="clear" w:pos="709"/>
          <w:tab w:val="left" w:pos="426" w:leader="none"/>
        </w:tabs>
        <w:spacing w:lineRule="auto" w:line="360" w:before="0" w:after="0"/>
        <w:ind w:left="0" w:right="0" w:firstLine="709"/>
        <w:jc w:val="both"/>
        <w:rPr/>
      </w:pPr>
      <w:r>
        <w:rPr>
          <w:rFonts w:eastAsia="Times New Roman" w:cs="Times New Roman"/>
          <w:color w:val="000000"/>
          <w:sz w:val="28"/>
          <w:szCs w:val="28"/>
          <w:lang w:eastAsia="ru-RU"/>
        </w:rPr>
        <w:t>2. Утвердить прилагаемые Правила персонифицированного финансирования дополнительного образования детей в Шарангском муниципальном районе .</w:t>
      </w:r>
    </w:p>
    <w:p>
      <w:pPr>
        <w:sectPr>
          <w:headerReference w:type="default" r:id="rId3"/>
          <w:type w:val="nextPage"/>
          <w:pgSz w:w="11906" w:h="16838"/>
          <w:pgMar w:left="1418" w:right="850" w:header="930" w:top="987" w:footer="0" w:bottom="1118" w:gutter="0"/>
          <w:pgNumType w:fmt="decimal"/>
          <w:formProt w:val="false"/>
          <w:textDirection w:val="lrTb"/>
          <w:docGrid w:type="default" w:linePitch="360" w:charSpace="8192"/>
        </w:sectPr>
        <w:pStyle w:val="Normal"/>
        <w:numPr>
          <w:ilvl w:val="0"/>
          <w:numId w:val="2"/>
        </w:numPr>
        <w:tabs>
          <w:tab w:val="clear" w:pos="709"/>
          <w:tab w:val="left" w:pos="426" w:leader="none"/>
        </w:tabs>
        <w:spacing w:lineRule="auto" w:line="360" w:before="0" w:after="0"/>
        <w:ind w:left="0" w:right="0" w:firstLine="709"/>
        <w:jc w:val="both"/>
        <w:rPr/>
      </w:pPr>
      <w:r>
        <w:rPr>
          <w:rFonts w:eastAsia="Times New Roman" w:cs="Times New Roman"/>
          <w:sz w:val="28"/>
          <w:szCs w:val="28"/>
          <w:lang w:eastAsia="ru-RU"/>
        </w:rPr>
        <w:t xml:space="preserve">3. Управлению образования и молодежной политики, отделу культуры, сектору по физической культуре и спорту </w:t>
      </w:r>
      <w:r>
        <w:rPr>
          <w:rFonts w:eastAsia="Times New Roman" w:cs="Times New Roman"/>
          <w:color w:val="000000"/>
          <w:sz w:val="28"/>
          <w:szCs w:val="28"/>
          <w:lang w:eastAsia="ru-RU"/>
        </w:rPr>
        <w:t xml:space="preserve">администрации Шарангского муниципального района обеспечить внедрение модели персонифицированного финансирования в образовательных организациях Шарангского </w:t>
      </w:r>
    </w:p>
    <w:p>
      <w:pPr>
        <w:pStyle w:val="Normal"/>
        <w:numPr>
          <w:ilvl w:val="0"/>
          <w:numId w:val="2"/>
        </w:numPr>
        <w:tabs>
          <w:tab w:val="clear" w:pos="709"/>
          <w:tab w:val="left" w:pos="426" w:leader="none"/>
        </w:tabs>
        <w:spacing w:lineRule="auto" w:line="360" w:before="0" w:after="0"/>
        <w:ind w:left="0" w:right="0" w:firstLine="709"/>
        <w:jc w:val="both"/>
        <w:rPr/>
      </w:pPr>
      <w:r>
        <w:rPr>
          <w:rFonts w:eastAsia="Times New Roman" w:cs="Times New Roman"/>
          <w:color w:val="000000"/>
          <w:sz w:val="28"/>
          <w:szCs w:val="28"/>
          <w:lang w:eastAsia="ru-RU"/>
        </w:rPr>
        <w:t>муниципального района, реализующих дополнительные общеобразовательные программы.</w:t>
      </w:r>
    </w:p>
    <w:p>
      <w:pPr>
        <w:pStyle w:val="Normal"/>
        <w:numPr>
          <w:ilvl w:val="0"/>
          <w:numId w:val="2"/>
        </w:numPr>
        <w:tabs>
          <w:tab w:val="clear" w:pos="709"/>
          <w:tab w:val="left" w:pos="426" w:leader="none"/>
        </w:tabs>
        <w:spacing w:lineRule="auto" w:line="360" w:before="0" w:after="0"/>
        <w:ind w:left="0" w:right="0" w:firstLine="709"/>
        <w:jc w:val="both"/>
        <w:rPr/>
      </w:pPr>
      <w:r>
        <w:rPr>
          <w:rFonts w:eastAsia="Times New Roman" w:cs="Times New Roman"/>
          <w:color w:val="000000"/>
          <w:sz w:val="28"/>
          <w:szCs w:val="28"/>
          <w:lang w:eastAsia="ru-RU"/>
        </w:rPr>
        <w:t>4. Муниципальному опорному центру МБУ ДО Шарангский Дом детского творчества, обеспечить взаимодействие с оператором персонифицированного финансирования Нижегородской области,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pPr>
        <w:pStyle w:val="Normal"/>
        <w:numPr>
          <w:ilvl w:val="0"/>
          <w:numId w:val="2"/>
        </w:numPr>
        <w:tabs>
          <w:tab w:val="clear" w:pos="709"/>
          <w:tab w:val="left" w:pos="426" w:leader="none"/>
        </w:tabs>
        <w:spacing w:lineRule="auto" w:line="360" w:before="0" w:after="0"/>
        <w:ind w:left="0" w:right="0" w:firstLine="709"/>
        <w:jc w:val="both"/>
        <w:rPr/>
      </w:pPr>
      <w:r>
        <w:rPr>
          <w:rFonts w:eastAsia="Times New Roman" w:cs="Times New Roman"/>
          <w:color w:val="000000"/>
          <w:sz w:val="28"/>
          <w:szCs w:val="28"/>
          <w:lang w:eastAsia="ru-RU"/>
        </w:rPr>
        <w:t>5. Разместить настоящее постановление на официальном сайте администрации Шарангского муниципального района .</w:t>
      </w:r>
    </w:p>
    <w:p>
      <w:pPr>
        <w:pStyle w:val="Normal"/>
        <w:numPr>
          <w:ilvl w:val="0"/>
          <w:numId w:val="2"/>
        </w:numPr>
        <w:tabs>
          <w:tab w:val="clear" w:pos="709"/>
          <w:tab w:val="left" w:pos="426" w:leader="none"/>
        </w:tabs>
        <w:spacing w:lineRule="auto" w:line="360" w:before="0" w:after="0"/>
        <w:ind w:left="0" w:right="0" w:firstLine="709"/>
        <w:jc w:val="both"/>
        <w:rPr/>
      </w:pPr>
      <w:r>
        <w:rPr>
          <w:rFonts w:eastAsia="Times New Roman" w:cs="Times New Roman"/>
          <w:b w:val="false"/>
          <w:sz w:val="28"/>
          <w:szCs w:val="28"/>
          <w:lang w:eastAsia="ru-RU"/>
        </w:rPr>
        <w:t>6. Контроль за исполнением настоящего постановления возложить на заместителя главы администрации Ожиганова Д.О.</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220" w:leader="none"/>
        </w:tabs>
        <w:jc w:val="both"/>
        <w:rPr>
          <w:rFonts w:cs="Times New Roman"/>
          <w:sz w:val="24"/>
          <w:szCs w:val="24"/>
        </w:rPr>
      </w:pPr>
      <w:r>
        <w:rPr>
          <w:sz w:val="28"/>
          <w:szCs w:val="28"/>
        </w:rPr>
        <w:t>Глава администрации</w:t>
        <w:tab/>
        <w:t>О.Л. Зыков</w:t>
      </w:r>
      <w:r>
        <w:br w:type="page"/>
      </w:r>
    </w:p>
    <w:p>
      <w:pPr>
        <w:pStyle w:val="Normal"/>
        <w:widowControl/>
        <w:tabs>
          <w:tab w:val="clear" w:pos="709"/>
          <w:tab w:val="left" w:pos="851" w:leader="none"/>
        </w:tabs>
        <w:suppressAutoHyphens w:val="true"/>
        <w:overflowPunct w:val="true"/>
        <w:bidi w:val="0"/>
        <w:spacing w:lineRule="auto" w:line="240" w:before="0" w:after="0"/>
        <w:ind w:left="4479" w:right="0" w:hanging="0"/>
        <w:jc w:val="center"/>
        <w:rPr/>
      </w:pPr>
      <w:r>
        <w:rPr>
          <w:rFonts w:cs="Times New Roman"/>
          <w:sz w:val="24"/>
          <w:szCs w:val="24"/>
        </w:rPr>
        <w:t>Утверждены</w:t>
      </w:r>
    </w:p>
    <w:p>
      <w:pPr>
        <w:pStyle w:val="Normal"/>
        <w:widowControl/>
        <w:tabs>
          <w:tab w:val="clear" w:pos="709"/>
          <w:tab w:val="left" w:pos="851" w:leader="none"/>
        </w:tabs>
        <w:suppressAutoHyphens w:val="true"/>
        <w:overflowPunct w:val="true"/>
        <w:bidi w:val="0"/>
        <w:spacing w:lineRule="auto" w:line="240" w:before="0" w:after="0"/>
        <w:ind w:left="4479" w:right="0" w:hanging="0"/>
        <w:jc w:val="center"/>
        <w:rPr>
          <w:sz w:val="24"/>
          <w:szCs w:val="24"/>
        </w:rPr>
      </w:pPr>
      <w:r>
        <w:rPr>
          <w:rFonts w:cs="Times New Roman"/>
          <w:sz w:val="24"/>
          <w:szCs w:val="24"/>
        </w:rPr>
        <w:t>постановлением администрации</w:t>
      </w:r>
    </w:p>
    <w:p>
      <w:pPr>
        <w:pStyle w:val="Normal"/>
        <w:widowControl/>
        <w:tabs>
          <w:tab w:val="clear" w:pos="709"/>
          <w:tab w:val="left" w:pos="851" w:leader="none"/>
        </w:tabs>
        <w:suppressAutoHyphens w:val="true"/>
        <w:overflowPunct w:val="true"/>
        <w:bidi w:val="0"/>
        <w:spacing w:lineRule="auto" w:line="240" w:before="0" w:after="0"/>
        <w:ind w:left="4479" w:right="0" w:hanging="0"/>
        <w:jc w:val="center"/>
        <w:rPr>
          <w:sz w:val="24"/>
          <w:szCs w:val="24"/>
        </w:rPr>
      </w:pPr>
      <w:r>
        <w:rPr>
          <w:rFonts w:eastAsia="Times New Roman" w:cs="Times New Roman"/>
          <w:spacing w:val="2"/>
          <w:sz w:val="24"/>
          <w:szCs w:val="24"/>
          <w:lang w:eastAsia="ru-RU"/>
        </w:rPr>
        <w:t>Шарангского муниципального района</w:t>
      </w:r>
    </w:p>
    <w:p>
      <w:pPr>
        <w:pStyle w:val="Normal"/>
        <w:widowControl/>
        <w:tabs>
          <w:tab w:val="clear" w:pos="709"/>
          <w:tab w:val="left" w:pos="851" w:leader="none"/>
        </w:tabs>
        <w:suppressAutoHyphens w:val="true"/>
        <w:overflowPunct w:val="true"/>
        <w:bidi w:val="0"/>
        <w:spacing w:lineRule="auto" w:line="240" w:before="0" w:after="0"/>
        <w:ind w:left="4479" w:right="0" w:hanging="0"/>
        <w:jc w:val="center"/>
        <w:rPr>
          <w:sz w:val="24"/>
          <w:szCs w:val="24"/>
        </w:rPr>
      </w:pPr>
      <w:r>
        <w:rPr>
          <w:rFonts w:cs="Times New Roman"/>
          <w:sz w:val="24"/>
          <w:szCs w:val="24"/>
        </w:rPr>
        <w:t>от 12.04.2019 г. № 212</w:t>
      </w:r>
    </w:p>
    <w:p>
      <w:pPr>
        <w:pStyle w:val="Normal"/>
        <w:tabs>
          <w:tab w:val="clear" w:pos="709"/>
          <w:tab w:val="left" w:pos="851" w:leader="none"/>
        </w:tabs>
        <w:spacing w:lineRule="auto" w:line="240" w:before="0" w:after="0"/>
        <w:ind w:left="0" w:right="0" w:hanging="0"/>
        <w:rPr>
          <w:rFonts w:ascii="Times New Roman" w:hAnsi="Times New Roman" w:cs="Times New Roman"/>
          <w:sz w:val="24"/>
          <w:szCs w:val="24"/>
        </w:rPr>
      </w:pPr>
      <w:r>
        <w:rPr>
          <w:rFonts w:cs="Times New Roman"/>
          <w:sz w:val="24"/>
          <w:szCs w:val="24"/>
        </w:rPr>
      </w:r>
    </w:p>
    <w:p>
      <w:pPr>
        <w:pStyle w:val="Normal"/>
        <w:widowControl/>
        <w:suppressAutoHyphens w:val="true"/>
        <w:overflowPunct w:val="true"/>
        <w:bidi w:val="0"/>
        <w:spacing w:lineRule="auto" w:line="240" w:before="0" w:after="0"/>
        <w:ind w:left="1134" w:right="1134" w:hanging="0"/>
        <w:jc w:val="center"/>
        <w:rPr>
          <w:sz w:val="24"/>
          <w:szCs w:val="24"/>
        </w:rPr>
      </w:pPr>
      <w:r>
        <w:rPr>
          <w:rFonts w:cs="Times New Roman"/>
          <w:b/>
          <w:sz w:val="24"/>
          <w:szCs w:val="24"/>
        </w:rPr>
        <w:t>Правила</w:t>
      </w:r>
    </w:p>
    <w:p>
      <w:pPr>
        <w:pStyle w:val="Normal"/>
        <w:widowControl/>
        <w:suppressAutoHyphens w:val="true"/>
        <w:overflowPunct w:val="true"/>
        <w:bidi w:val="0"/>
        <w:spacing w:lineRule="auto" w:line="240" w:before="0" w:after="0"/>
        <w:ind w:left="1134" w:right="1134" w:hanging="0"/>
        <w:jc w:val="center"/>
        <w:rPr>
          <w:sz w:val="24"/>
          <w:szCs w:val="24"/>
        </w:rPr>
      </w:pPr>
      <w:r>
        <w:rPr>
          <w:rFonts w:cs="Times New Roman"/>
          <w:b/>
          <w:sz w:val="24"/>
          <w:szCs w:val="24"/>
        </w:rPr>
        <w:t xml:space="preserve"> </w:t>
      </w:r>
      <w:r>
        <w:rPr>
          <w:rFonts w:cs="Times New Roman"/>
          <w:b/>
          <w:sz w:val="24"/>
          <w:szCs w:val="24"/>
        </w:rPr>
        <w:t xml:space="preserve">персонифицированного финансирования дополнительного образования детей в </w:t>
      </w:r>
      <w:bookmarkStart w:id="0" w:name="_GoBack"/>
      <w:bookmarkEnd w:id="0"/>
      <w:r>
        <w:rPr>
          <w:rFonts w:eastAsia="Times New Roman" w:cs="Times New Roman"/>
          <w:b/>
          <w:spacing w:val="2"/>
          <w:sz w:val="24"/>
          <w:szCs w:val="24"/>
          <w:lang w:eastAsia="ru-RU"/>
        </w:rPr>
        <w:t>Шарангском муниципальном районе</w:t>
      </w:r>
    </w:p>
    <w:p>
      <w:pPr>
        <w:pStyle w:val="Normal"/>
        <w:tabs>
          <w:tab w:val="clear" w:pos="709"/>
          <w:tab w:val="left" w:pos="851" w:leader="none"/>
        </w:tabs>
        <w:spacing w:lineRule="auto" w:line="240" w:before="0" w:after="0"/>
        <w:ind w:left="0" w:right="0" w:hanging="0"/>
        <w:jc w:val="center"/>
        <w:rPr>
          <w:rFonts w:ascii="Times New Roman" w:hAnsi="Times New Roman" w:cs="Times New Roman"/>
          <w:sz w:val="24"/>
          <w:szCs w:val="24"/>
        </w:rPr>
      </w:pPr>
      <w:r>
        <w:rPr>
          <w:rFonts w:cs="Times New Roman"/>
          <w:sz w:val="24"/>
          <w:szCs w:val="24"/>
        </w:rPr>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 xml:space="preserve">1. Правила персонифицированного финансирования дополнительного образования детей в </w:t>
      </w:r>
      <w:r>
        <w:rPr>
          <w:rFonts w:eastAsia="Times New Roman" w:cs="Times New Roman"/>
          <w:spacing w:val="2"/>
          <w:sz w:val="24"/>
          <w:szCs w:val="24"/>
          <w:lang w:eastAsia="ru-RU"/>
        </w:rPr>
        <w:t>Шарангском муниципальном районе</w:t>
      </w:r>
      <w:r>
        <w:rPr>
          <w:rFonts w:cs="Times New Roman"/>
          <w:sz w:val="24"/>
          <w:szCs w:val="24"/>
        </w:rPr>
        <w:t xml:space="preserve"> (далее – Правила) регулируют функционирование системы персонифицированного финансирования (далее - ПФ) дополнительного образования детей (далее – система ПФ), внедрение которой осуществляется в муниципальном образовании Шарангский муниципальный район Нижегородской области с целью реализации </w:t>
      </w:r>
      <w:r>
        <w:rPr>
          <w:rFonts w:eastAsia="Times New Roman" w:cs="Times New Roman"/>
          <w:color w:val="000000"/>
          <w:sz w:val="24"/>
          <w:szCs w:val="24"/>
          <w:lang w:eastAsia="ru-RU"/>
        </w:rPr>
        <w:t xml:space="preserve">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и утвержденных Правил персонифицированного финансирования дополнительного образования детей в Нижегородской области (далее – региональные Правила). </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 xml:space="preserve">2. С целью обеспечения единства образовательного пространства и равенства образовательных возможностей для детей Нижегородской области на территории Шарангского муниципального района вводится система ПФ, соответствующая принципам, установленным в региональных Правилах. </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 xml:space="preserve">3. ПФ вводится для оплаты образовательных услуг дополнительного образования детей по дополнительным общеразвивающим программам, реализуемым образовательными организациями </w:t>
      </w:r>
      <w:r>
        <w:rPr>
          <w:rFonts w:eastAsia="Times New Roman" w:cs="Times New Roman"/>
          <w:spacing w:val="2"/>
          <w:sz w:val="24"/>
          <w:szCs w:val="24"/>
          <w:lang w:eastAsia="ru-RU"/>
        </w:rPr>
        <w:t xml:space="preserve">Шарангского муниципального района </w:t>
      </w:r>
      <w:r>
        <w:rPr>
          <w:rFonts w:cs="Times New Roman"/>
          <w:sz w:val="24"/>
          <w:szCs w:val="24"/>
        </w:rPr>
        <w:t xml:space="preserve">(поставщиками образовательных услуг). </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 xml:space="preserve">4. Возраст включения ребенка в систему ПФ – с 5 лет до 18 лет. В случае если обучающемуся, зачисленному на образовательную программу, в текущем году исполняется 18 лет, то образовательная организация предлагает пройти ускоренный модульный курс обучения до наступления возраста 18 лет. </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 xml:space="preserve">5. Сертификат дополнительного образования с определенным номиналом, в Шарангском муниципальном районе Нижегородской области, обеспечивается за счет средств районного бюджета . </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eastAsia="Times New Roman" w:cs="Times New Roman"/>
          <w:sz w:val="24"/>
          <w:szCs w:val="24"/>
          <w:lang w:eastAsia="ru-RU"/>
        </w:rPr>
        <w:t>6. Управление образования и молодежной политики Шарангского муниципального района Нижегородской области</w:t>
      </w:r>
      <w:r>
        <w:rPr>
          <w:rFonts w:eastAsia="Times New Roman" w:cs="Times New Roman"/>
          <w:color w:val="000000"/>
          <w:sz w:val="24"/>
          <w:szCs w:val="24"/>
          <w:lang w:eastAsia="ru-RU"/>
        </w:rPr>
        <w:t xml:space="preserve"> </w:t>
      </w:r>
      <w:r>
        <w:rPr>
          <w:rFonts w:cs="Times New Roman"/>
          <w:sz w:val="24"/>
          <w:szCs w:val="24"/>
        </w:rPr>
        <w:t xml:space="preserve">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 максимальное число сертификатов дополнительного образования с определенным номиналом на следующий год, номинал сертификатов и предоставляет данные сведения Оператору ПФ Нижегородской области для фиксации в информационной системе персонифицированного финансирования «Навигатор дополнительного образования Нижегородской области» (далее – ИС). </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7. Предоставление и использование сертификата дополнительного образования, права</w:t>
      </w:r>
      <w:r>
        <w:rPr>
          <w:rFonts w:eastAsia="Times New Roman" w:cs="Times New Roman"/>
          <w:spacing w:val="2"/>
          <w:sz w:val="24"/>
          <w:szCs w:val="24"/>
          <w:lang w:eastAsia="ru-RU"/>
        </w:rPr>
        <w:t xml:space="preserve"> осуществляются в соответствии с </w:t>
      </w:r>
      <w:r>
        <w:rPr>
          <w:rFonts w:cs="Times New Roman"/>
          <w:sz w:val="24"/>
          <w:szCs w:val="24"/>
        </w:rPr>
        <w:t xml:space="preserve">региональными Правилами. Во всех вопросах, специально не урегулированных настоящими Правилами, органы местного самоуправления </w:t>
      </w:r>
      <w:r>
        <w:rPr>
          <w:rFonts w:eastAsia="Times New Roman" w:cs="Times New Roman"/>
          <w:spacing w:val="2"/>
          <w:sz w:val="24"/>
          <w:szCs w:val="24"/>
          <w:lang w:eastAsia="ru-RU"/>
        </w:rPr>
        <w:t xml:space="preserve">Шарангского муниципального района </w:t>
      </w:r>
      <w:r>
        <w:rPr>
          <w:rFonts w:cs="Times New Roman"/>
          <w:sz w:val="24"/>
          <w:szCs w:val="24"/>
        </w:rPr>
        <w:t xml:space="preserve">и образовательные организации руководствуются региональными Правилами. </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 xml:space="preserve">8. Финансовое обеспечение образовательных услуг, предоставляемых образовательными организациями, включенными в систему ПФ, на основе сертификатов дополнительного образования, осуществляется за счет средств, предусматриваемых в районном бюджете </w:t>
      </w:r>
      <w:r>
        <w:rPr>
          <w:rFonts w:eastAsia="Times New Roman" w:cs="Times New Roman"/>
          <w:spacing w:val="2"/>
          <w:sz w:val="24"/>
          <w:szCs w:val="24"/>
          <w:lang w:eastAsia="ru-RU"/>
        </w:rPr>
        <w:t>.</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9. Объем оплаты образовательных услуг, оказанных образовательными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10. Оплата оказываемых услуг по реализации дополнительных общеобразовательных программ осуществляется администрацией Шарангского муниципального района посредством определения муниципального задания для поставщиков образовательных услуг и заключения соглашения о доведении субсидии в целях финансового обеспечения выполнения муниципального задания в установленном бюджетном законодательством порядке.</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pPr>
      <w:r>
        <w:rPr>
          <w:rFonts w:cs="Times New Roman"/>
          <w:sz w:val="24"/>
          <w:szCs w:val="24"/>
        </w:rPr>
        <w:t xml:space="preserve">11. Размер нормативных затрат на реализацию дополнительных общеразвивающих программ определяется </w:t>
      </w:r>
      <w:bookmarkStart w:id="1" w:name="__DdeLink__461_3979561140"/>
      <w:r>
        <w:rPr>
          <w:rFonts w:cs="Times New Roman"/>
          <w:sz w:val="24"/>
          <w:szCs w:val="24"/>
        </w:rPr>
        <w:t>управлением образования и молодежной политики администрации</w:t>
      </w:r>
      <w:bookmarkEnd w:id="1"/>
      <w:r>
        <w:rPr>
          <w:rFonts w:eastAsia="Times New Roman" w:cs="Times New Roman"/>
          <w:sz w:val="24"/>
          <w:szCs w:val="24"/>
          <w:lang w:eastAsia="ru-RU"/>
        </w:rPr>
        <w:t xml:space="preserve"> </w:t>
      </w:r>
      <w:r>
        <w:rPr>
          <w:rFonts w:eastAsia="Times New Roman" w:cs="Times New Roman"/>
          <w:color w:val="000000"/>
          <w:sz w:val="24"/>
          <w:szCs w:val="24"/>
          <w:lang w:eastAsia="ru-RU"/>
        </w:rPr>
        <w:t xml:space="preserve">Шарангского муниципального района </w:t>
      </w:r>
      <w:r>
        <w:rPr>
          <w:rFonts w:cs="Times New Roman"/>
          <w:sz w:val="24"/>
          <w:szCs w:val="24"/>
        </w:rPr>
        <w:t xml:space="preserve">в расчете на человеко-час по каждому виду и направленности (профилю) образовательных программ в соответствии с пунктом 4.1. приказа Минпросвещения России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w:t>
      </w:r>
      <w:r>
        <w:rPr>
          <w:rFonts w:cs="Times New Roman"/>
          <w:sz w:val="24"/>
          <w:szCs w:val="24"/>
        </w:rPr>
        <w:t>Управление образования и молодежной политики администрации</w:t>
      </w:r>
      <w:r>
        <w:rPr>
          <w:rFonts w:eastAsia="Times New Roman" w:cs="Times New Roman"/>
          <w:sz w:val="24"/>
          <w:szCs w:val="24"/>
          <w:lang w:eastAsia="ru-RU"/>
        </w:rPr>
        <w:t xml:space="preserve"> </w:t>
      </w:r>
      <w:r>
        <w:rPr>
          <w:rFonts w:eastAsia="Times New Roman" w:cs="Times New Roman"/>
          <w:color w:val="000000"/>
          <w:sz w:val="24"/>
          <w:szCs w:val="24"/>
          <w:lang w:eastAsia="ru-RU"/>
        </w:rPr>
        <w:t>Шарангского муниципального района</w:t>
      </w:r>
      <w:r>
        <w:rPr>
          <w:rFonts w:cs="Times New Roman"/>
          <w:sz w:val="24"/>
          <w:szCs w:val="24"/>
        </w:rPr>
        <w:t xml:space="preserve">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12. 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 и подлежат корректировке в течение календарного года на основании данных о фактическом объеме реализации образовательных услуг.</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13. С целью подтверждения реального объема реализации образовательных услуг поставщик образовательных услуг ежемесячно заполняет в ИС следующие сведения:</w:t>
      </w:r>
    </w:p>
    <w:p>
      <w:pPr>
        <w:pStyle w:val="ListParagraph"/>
        <w:numPr>
          <w:ilvl w:val="0"/>
          <w:numId w:val="3"/>
        </w:numPr>
        <w:tabs>
          <w:tab w:val="clear" w:pos="709"/>
          <w:tab w:val="left" w:pos="851" w:leader="none"/>
        </w:tabs>
        <w:suppressAutoHyphens w:val="true"/>
        <w:overflowPunct w:val="true"/>
        <w:bidi w:val="0"/>
        <w:spacing w:lineRule="auto" w:line="240" w:before="0" w:after="0"/>
        <w:ind w:left="0" w:right="0" w:firstLine="567"/>
        <w:contextualSpacing/>
        <w:jc w:val="both"/>
        <w:rPr>
          <w:sz w:val="24"/>
          <w:szCs w:val="24"/>
        </w:rPr>
      </w:pPr>
      <w:r>
        <w:rPr>
          <w:rFonts w:cs="Times New Roman" w:ascii="Times New Roman" w:hAnsi="Times New Roman"/>
          <w:sz w:val="24"/>
          <w:szCs w:val="24"/>
        </w:rPr>
        <w:t>реквизиты исполненных (полностью или частично, с указанием количества часов) договоров об образовании;</w:t>
      </w:r>
    </w:p>
    <w:p>
      <w:pPr>
        <w:pStyle w:val="ListParagraph"/>
        <w:numPr>
          <w:ilvl w:val="0"/>
          <w:numId w:val="3"/>
        </w:numPr>
        <w:tabs>
          <w:tab w:val="clear" w:pos="709"/>
          <w:tab w:val="left" w:pos="851" w:leader="none"/>
        </w:tabs>
        <w:suppressAutoHyphens w:val="true"/>
        <w:overflowPunct w:val="true"/>
        <w:bidi w:val="0"/>
        <w:spacing w:lineRule="auto" w:line="240" w:before="0" w:after="0"/>
        <w:ind w:left="0" w:right="0" w:firstLine="567"/>
        <w:contextualSpacing/>
        <w:jc w:val="both"/>
        <w:rPr>
          <w:sz w:val="24"/>
          <w:szCs w:val="24"/>
        </w:rPr>
      </w:pPr>
      <w:r>
        <w:rPr>
          <w:rFonts w:cs="Times New Roman" w:ascii="Times New Roman" w:hAnsi="Times New Roman"/>
          <w:sz w:val="24"/>
          <w:szCs w:val="24"/>
        </w:rPr>
        <w:t>номера сертификатов дополнительного образования.</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 xml:space="preserve">14. 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w:t>
      </w:r>
      <w:r>
        <w:rPr>
          <w:rFonts w:eastAsia="Times New Roman" w:cs="Times New Roman"/>
          <w:spacing w:val="2"/>
          <w:sz w:val="24"/>
          <w:szCs w:val="24"/>
          <w:lang w:eastAsia="ru-RU"/>
        </w:rPr>
        <w:t>Шарангского муниципального района</w:t>
      </w:r>
      <w:r>
        <w:rPr>
          <w:rFonts w:cs="Times New Roman"/>
          <w:sz w:val="24"/>
          <w:szCs w:val="24"/>
        </w:rPr>
        <w:t xml:space="preserve">. </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15. В пределах доступного числа сертификатов дополнительного образования с определенным номиналом для финансирования услуг, предоставляемых образовательными организациями, функцию по подтверждению факта формирования сертификата выполняет Оператор ПФ или поставщик образовательных услуг.</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sz w:val="24"/>
          <w:szCs w:val="24"/>
        </w:rPr>
      </w:pPr>
      <w:r>
        <w:rPr>
          <w:rFonts w:cs="Times New Roman"/>
          <w:sz w:val="24"/>
          <w:szCs w:val="24"/>
        </w:rPr>
        <w:t xml:space="preserve">16. 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информации в ИС. </w:t>
      </w:r>
    </w:p>
    <w:p>
      <w:pPr>
        <w:pStyle w:val="Normal"/>
        <w:widowControl w:val="false"/>
        <w:tabs>
          <w:tab w:val="clear" w:pos="709"/>
          <w:tab w:val="left" w:pos="0" w:leader="none"/>
          <w:tab w:val="left" w:pos="993" w:leader="none"/>
        </w:tabs>
        <w:suppressAutoHyphens w:val="true"/>
        <w:overflowPunct w:val="true"/>
        <w:bidi w:val="0"/>
        <w:spacing w:lineRule="auto" w:line="240" w:before="0" w:after="0"/>
        <w:ind w:left="0" w:right="0" w:firstLine="567"/>
        <w:jc w:val="both"/>
        <w:rPr/>
      </w:pPr>
      <w:r>
        <w:rPr>
          <w:rFonts w:cs="Times New Roman"/>
          <w:sz w:val="24"/>
          <w:szCs w:val="24"/>
        </w:rPr>
        <w:t>17. 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p>
    <w:sectPr>
      <w:headerReference w:type="default" r:id="rId4"/>
      <w:type w:val="nextPage"/>
      <w:pgSz w:w="11906" w:h="16838"/>
      <w:pgMar w:left="1418" w:right="850" w:header="930" w:top="987" w:footer="0" w:bottom="65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ListLabel11">
    <w:name w:val="ListLabel 11"/>
    <w:qFormat/>
    <w:rPr>
      <w:rFonts w:ascii="Times New Roman" w:hAnsi="Times New Roman" w:cs="Times New Roman"/>
      <w:b w:val="false"/>
      <w:sz w:val="28"/>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paragraph" w:styleId="Style13" w:customStyle="1">
    <w:name w:val="Заголовок"/>
    <w:basedOn w:val="Normal"/>
    <w:next w:val="Style14"/>
    <w:qFormat/>
    <w:rsid w:val="0055234d"/>
    <w:pPr>
      <w:keepNext w:val="true"/>
      <w:spacing w:before="240" w:after="120"/>
    </w:pPr>
    <w:rPr>
      <w:rFonts w:ascii="Liberation Sans;Arial" w:hAnsi="Liberation Sans;Arial" w:eastAsia="Microsoft YaHei" w:cs="Mangal"/>
      <w:sz w:val="28"/>
      <w:szCs w:val="28"/>
    </w:rPr>
  </w:style>
  <w:style w:type="paragraph" w:styleId="Style14">
    <w:name w:val="Body Text"/>
    <w:basedOn w:val="Normal"/>
    <w:rsid w:val="0055234d"/>
    <w:pPr>
      <w:spacing w:lineRule="auto" w:line="360"/>
      <w:jc w:val="center"/>
    </w:pPr>
    <w:rPr>
      <w:rFonts w:ascii="Arial" w:hAnsi="Arial" w:cs="Arial"/>
      <w:b/>
      <w:sz w:val="28"/>
    </w:rPr>
  </w:style>
  <w:style w:type="paragraph" w:styleId="Style15">
    <w:name w:val="List"/>
    <w:basedOn w:val="Style14"/>
    <w:rsid w:val="0055234d"/>
    <w:pPr/>
    <w:rPr>
      <w:rFonts w:cs="Mangal"/>
    </w:rPr>
  </w:style>
  <w:style w:type="paragraph" w:styleId="Style16" w:customStyle="1">
    <w:name w:val="Caption"/>
    <w:basedOn w:val="Normal"/>
    <w:qFormat/>
    <w:rsid w:val="0055234d"/>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8">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9"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0"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ind w:firstLine="720"/>
      <w:jc w:val="left"/>
    </w:pPr>
    <w:rPr>
      <w:rFonts w:ascii="Arial" w:hAnsi="Arial" w:eastAsia="Times New Roman" w:cs="Arial"/>
      <w:color w:val="00000A"/>
      <w:kern w:val="0"/>
      <w:sz w:val="20"/>
      <w:szCs w:val="20"/>
      <w:lang w:val="ru-RU" w:eastAsia="zh-CN" w:bidi="ar-SA"/>
    </w:rPr>
  </w:style>
  <w:style w:type="paragraph" w:styleId="Style21"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2"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LibreOffice/6.2.2.2$Windows_X86_64 LibreOffice_project/2b840030fec2aae0fd2658d8d4f9548af4e3518d</Application>
  <Pages>4</Pages>
  <Words>986</Words>
  <Characters>8212</Characters>
  <CharactersWithSpaces>9174</CharactersWithSpaces>
  <Paragraphs>42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2019-04-24T15:29:32Z</cp:lastPrinted>
  <dcterms:modified xsi:type="dcterms:W3CDTF">2019-04-24T15:30:10Z</dcterms:modified>
  <cp:revision>65</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