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media/image1.png" ContentType="image/png"/>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kern w:val="2"/>
          <w:sz w:val="32"/>
        </w:rPr>
      </w:pPr>
      <w:r>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pacing w:lineRule="auto" w:line="216" w:before="40" w:after="0"/>
        <w:jc w:val="center"/>
        <w:rPr>
          <w:b/>
          <w:b/>
          <w:kern w:val="2"/>
          <w:sz w:val="32"/>
        </w:rPr>
      </w:pPr>
      <w:r>
        <w:rPr>
          <w:b/>
          <w:kern w:val="2"/>
          <w:sz w:val="32"/>
        </w:rPr>
      </w:r>
    </w:p>
    <w:p>
      <w:pPr>
        <w:pStyle w:val="Normal"/>
        <w:spacing w:lineRule="auto" w:line="216" w:before="40" w:after="0"/>
        <w:jc w:val="center"/>
        <w:rPr>
          <w:b/>
          <w:b/>
          <w:kern w:val="2"/>
          <w:sz w:val="28"/>
          <w:szCs w:val="28"/>
        </w:rPr>
      </w:pPr>
      <w:r>
        <w:rPr>
          <w:b/>
          <w:kern w:val="2"/>
          <w:sz w:val="28"/>
          <w:szCs w:val="28"/>
        </w:rPr>
        <w:t xml:space="preserve">АДМИНИСТРАЦИЯ </w:t>
      </w:r>
    </w:p>
    <w:p>
      <w:pPr>
        <w:pStyle w:val="Normal"/>
        <w:spacing w:lineRule="auto" w:line="216" w:before="40" w:after="0"/>
        <w:jc w:val="center"/>
        <w:rPr>
          <w:b/>
          <w:b/>
          <w:kern w:val="2"/>
          <w:sz w:val="28"/>
          <w:szCs w:val="28"/>
        </w:rPr>
      </w:pPr>
      <w:r>
        <w:rPr>
          <w:b/>
          <w:kern w:val="2"/>
          <w:sz w:val="28"/>
          <w:szCs w:val="28"/>
        </w:rPr>
        <w:t>ШАРАНГСКОГО МУНИЦИПАЛЬНОГО РАЙОНА</w:t>
      </w:r>
    </w:p>
    <w:p>
      <w:pPr>
        <w:pStyle w:val="1"/>
        <w:numPr>
          <w:ilvl w:val="0"/>
          <w:numId w:val="2"/>
        </w:numPr>
        <w:rPr>
          <w:sz w:val="28"/>
          <w:szCs w:val="28"/>
        </w:rPr>
      </w:pPr>
      <w:r>
        <w:rPr>
          <w:sz w:val="28"/>
          <w:szCs w:val="28"/>
        </w:rPr>
        <w:t>НИЖЕГОРОДСКОЙ ОБЛАСТИ</w:t>
      </w:r>
    </w:p>
    <w:p>
      <w:pPr>
        <w:pStyle w:val="1"/>
        <w:numPr>
          <w:ilvl w:val="0"/>
          <w:numId w:val="2"/>
        </w:numPr>
        <w:rPr>
          <w:spacing w:val="60"/>
          <w:sz w:val="28"/>
          <w:szCs w:val="28"/>
        </w:rPr>
      </w:pPr>
      <w:r>
        <w:rPr>
          <w:spacing w:val="60"/>
          <w:sz w:val="28"/>
          <w:szCs w:val="28"/>
        </w:rPr>
      </w:r>
    </w:p>
    <w:p>
      <w:pPr>
        <w:pStyle w:val="1"/>
        <w:numPr>
          <w:ilvl w:val="0"/>
          <w:numId w:val="2"/>
        </w:numPr>
        <w:ind w:left="142" w:hanging="142"/>
        <w:rPr>
          <w:spacing w:val="60"/>
          <w:sz w:val="28"/>
          <w:szCs w:val="28"/>
        </w:rPr>
      </w:pPr>
      <w:r>
        <w:rPr>
          <w:spacing w:val="60"/>
          <w:sz w:val="28"/>
          <w:szCs w:val="28"/>
        </w:rPr>
        <w:t>ПОСТАНОВЛЕНИЕ</w:t>
      </w:r>
    </w:p>
    <w:p>
      <w:pPr>
        <w:pStyle w:val="Normal"/>
        <w:jc w:val="both"/>
        <w:rPr>
          <w:spacing w:val="60"/>
          <w:sz w:val="28"/>
          <w:szCs w:val="28"/>
        </w:rPr>
      </w:pPr>
      <w:r>
        <w:rPr>
          <w:spacing w:val="60"/>
          <w:sz w:val="28"/>
          <w:szCs w:val="28"/>
        </w:rPr>
      </w:r>
    </w:p>
    <w:p>
      <w:pPr>
        <w:pStyle w:val="Normal"/>
        <w:jc w:val="both"/>
        <w:rPr>
          <w:spacing w:val="60"/>
          <w:sz w:val="28"/>
          <w:szCs w:val="28"/>
        </w:rPr>
      </w:pPr>
      <w:r>
        <w:rPr>
          <w:spacing w:val="60"/>
          <w:sz w:val="28"/>
          <w:szCs w:val="28"/>
        </w:rPr>
      </w:r>
    </w:p>
    <w:p>
      <w:pPr>
        <w:pStyle w:val="Normal"/>
        <w:tabs>
          <w:tab w:val="clear" w:pos="709"/>
          <w:tab w:val="left" w:pos="8789" w:leader="none"/>
        </w:tabs>
        <w:rPr/>
      </w:pPr>
      <w:r>
        <w:rPr>
          <w:sz w:val="28"/>
          <w:szCs w:val="28"/>
        </w:rPr>
        <w:t xml:space="preserve">от </w:t>
      </w:r>
      <w:r>
        <w:rPr>
          <w:sz w:val="28"/>
          <w:szCs w:val="28"/>
        </w:rPr>
        <w:t>10</w:t>
      </w:r>
      <w:r>
        <w:rPr>
          <w:sz w:val="28"/>
          <w:szCs w:val="28"/>
        </w:rPr>
        <w:t>.04.2019</w:t>
        <w:tab/>
      </w:r>
      <w:r>
        <w:rPr>
          <w:sz w:val="28"/>
          <w:szCs w:val="28"/>
          <w:lang w:val="en-US"/>
        </w:rPr>
        <w:t>N</w:t>
      </w:r>
      <w:r>
        <w:rPr>
          <w:sz w:val="28"/>
          <w:szCs w:val="28"/>
        </w:rPr>
        <w:t xml:space="preserve"> </w:t>
      </w:r>
      <w:r>
        <w:rPr>
          <w:sz w:val="28"/>
          <w:szCs w:val="28"/>
        </w:rPr>
        <w:t>209</w:t>
      </w:r>
    </w:p>
    <w:p>
      <w:pPr>
        <w:pStyle w:val="Normal"/>
        <w:jc w:val="both"/>
        <w:rPr>
          <w:sz w:val="28"/>
          <w:szCs w:val="28"/>
        </w:rPr>
      </w:pPr>
      <w:r>
        <w:rPr>
          <w:sz w:val="28"/>
          <w:szCs w:val="28"/>
        </w:rPr>
      </w:r>
    </w:p>
    <w:p>
      <w:pPr>
        <w:pStyle w:val="Normal"/>
        <w:jc w:val="both"/>
        <w:rPr>
          <w:sz w:val="28"/>
          <w:szCs w:val="28"/>
        </w:rPr>
      </w:pPr>
      <w:r>
        <w:rPr>
          <w:sz w:val="28"/>
          <w:szCs w:val="28"/>
        </w:rPr>
      </w:r>
    </w:p>
    <w:p>
      <w:pPr>
        <w:pStyle w:val="Normal"/>
        <w:jc w:val="both"/>
        <w:rPr>
          <w:sz w:val="28"/>
          <w:szCs w:val="28"/>
        </w:rPr>
      </w:pPr>
      <w:r>
        <w:rPr>
          <w:sz w:val="28"/>
          <w:szCs w:val="28"/>
        </w:rPr>
      </w:r>
    </w:p>
    <w:p>
      <w:pPr>
        <w:pStyle w:val="ConsPlusTitle"/>
        <w:ind w:left="1134" w:right="1133" w:hanging="0"/>
        <w:jc w:val="center"/>
        <w:rPr>
          <w:rFonts w:ascii="Times New Roman" w:hAnsi="Times New Roman" w:cs="Times New Roman"/>
          <w:sz w:val="28"/>
          <w:szCs w:val="28"/>
        </w:rPr>
      </w:pPr>
      <w:r>
        <w:rPr>
          <w:rFonts w:cs="Times New Roman" w:ascii="Times New Roman" w:hAnsi="Times New Roman"/>
          <w:b/>
          <w:sz w:val="28"/>
          <w:szCs w:val="28"/>
        </w:rPr>
        <w:t xml:space="preserve">Об утверждении Порядка организации сбора и определения места первичного сбора и размещения отработанных ртутьсодержащих ламп на территории Шарангского муниципального района </w:t>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ConsPlusNormal"/>
        <w:spacing w:lineRule="auto" w:line="360"/>
        <w:ind w:firstLine="539"/>
        <w:jc w:val="both"/>
        <w:rPr/>
      </w:pPr>
      <w:r>
        <w:rPr>
          <w:rFonts w:cs="Times New Roman" w:ascii="Times New Roman" w:hAnsi="Times New Roman"/>
          <w:color w:val="000000"/>
          <w:sz w:val="28"/>
          <w:szCs w:val="28"/>
        </w:rPr>
        <w:t xml:space="preserve">В соответствии с Федеральными законами от 24.06.1998 N 89-ФЗ "Об отходах производства и потребления", от 30.03.1999 N 52-ФЗ "О санитарно-эпидемиологическом благополучии населения", от 06.10.2003 N 131-ФЗ "Об общих принципах организации местного самоуправления в Российской Федерации", Правилами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 утвержденными постановлением Правительства Российской Федерации от 03.09.2010 N 681, руководствуясь Уставом Шарангского муниципального района Нижегородской области, администрация Шарангского муниципального района Нижегородской области </w:t>
      </w:r>
      <w:r>
        <w:rPr>
          <w:rFonts w:cs="Times New Roman" w:ascii="Times New Roman" w:hAnsi="Times New Roman"/>
          <w:b/>
          <w:bCs/>
          <w:color w:val="000000"/>
          <w:sz w:val="28"/>
          <w:szCs w:val="28"/>
        </w:rPr>
        <w:t>п о с т а н о в л я е т:</w:t>
      </w:r>
    </w:p>
    <w:p>
      <w:pPr>
        <w:pStyle w:val="ConsPlusNormal"/>
        <w:spacing w:lineRule="auto" w:line="360"/>
        <w:ind w:firstLine="539"/>
        <w:jc w:val="both"/>
        <w:rPr>
          <w:rFonts w:ascii="Times New Roman" w:hAnsi="Times New Roman" w:cs="Times New Roman"/>
          <w:color w:val="000000"/>
          <w:sz w:val="28"/>
          <w:szCs w:val="28"/>
        </w:rPr>
      </w:pPr>
      <w:r>
        <w:rPr>
          <w:rFonts w:cs="Times New Roman" w:ascii="Times New Roman" w:hAnsi="Times New Roman"/>
          <w:color w:val="000000"/>
          <w:sz w:val="28"/>
          <w:szCs w:val="28"/>
        </w:rPr>
        <w:t>1. Утвердить Порядок организации сбора и определения места первичного сбора и размещения отработанных ртутьсодержащих ламп на территории Шарангского муниципального района (далее - Порядок) согласно приложению.</w:t>
      </w:r>
    </w:p>
    <w:p>
      <w:pPr>
        <w:pStyle w:val="ConsPlusNormal"/>
        <w:spacing w:lineRule="auto" w:line="360"/>
        <w:ind w:firstLine="539"/>
        <w:jc w:val="both"/>
        <w:rPr>
          <w:rFonts w:ascii="Times New Roman" w:hAnsi="Times New Roman" w:cs="Times New Roman"/>
          <w:color w:val="000000"/>
          <w:sz w:val="28"/>
          <w:szCs w:val="28"/>
        </w:rPr>
      </w:pPr>
      <w:r>
        <w:rPr>
          <w:rFonts w:cs="Times New Roman" w:ascii="Times New Roman" w:hAnsi="Times New Roman"/>
          <w:color w:val="000000"/>
          <w:sz w:val="28"/>
          <w:szCs w:val="28"/>
        </w:rPr>
        <w:t>2. Заместителю главы администрации Шарангского муниципального района Д.О. Ожиганову:</w:t>
      </w:r>
    </w:p>
    <w:p>
      <w:pPr>
        <w:pStyle w:val="ConsPlusNormal"/>
        <w:spacing w:lineRule="auto" w:line="360"/>
        <w:ind w:firstLine="539"/>
        <w:jc w:val="both"/>
        <w:rPr>
          <w:rFonts w:ascii="Times New Roman" w:hAnsi="Times New Roman" w:cs="Times New Roman"/>
          <w:color w:val="000000"/>
          <w:sz w:val="28"/>
          <w:szCs w:val="28"/>
        </w:rPr>
      </w:pPr>
      <w:r>
        <w:rPr>
          <w:rFonts w:cs="Times New Roman" w:ascii="Times New Roman" w:hAnsi="Times New Roman"/>
          <w:color w:val="000000"/>
          <w:sz w:val="28"/>
          <w:szCs w:val="28"/>
        </w:rPr>
        <w:t>- обеспечить информирование юридических лиц, индивидуальных предпринимателей и физических лиц о порядке организации сбора и определения места первичного сбора и размещения отработанных ртутьсодержащих ламп на территории Шарангского муниципального района;</w:t>
      </w:r>
    </w:p>
    <w:p>
      <w:pPr>
        <w:pStyle w:val="ConsPlusNormal"/>
        <w:spacing w:lineRule="auto" w:line="360"/>
        <w:ind w:firstLine="539"/>
        <w:jc w:val="both"/>
        <w:rPr/>
      </w:pPr>
      <w:r>
        <w:rPr>
          <w:rFonts w:cs="Times New Roman" w:ascii="Times New Roman" w:hAnsi="Times New Roman"/>
          <w:color w:val="000000"/>
          <w:sz w:val="28"/>
          <w:szCs w:val="28"/>
        </w:rPr>
        <w:t>- организовать разъяснительную работу в средствах массовой информации о необходимости раздельного сбора ртутьсодержащих отработанных ламп, транспортирования и утилизации их специализированными организациями.</w:t>
      </w:r>
    </w:p>
    <w:p>
      <w:pPr>
        <w:pStyle w:val="ConsPlusNormal"/>
        <w:spacing w:lineRule="auto" w:line="360"/>
        <w:ind w:firstLine="539"/>
        <w:jc w:val="both"/>
        <w:rPr>
          <w:rFonts w:ascii="Times New Roman" w:hAnsi="Times New Roman" w:cs="Times New Roman"/>
          <w:color w:val="000000"/>
          <w:sz w:val="28"/>
          <w:szCs w:val="28"/>
        </w:rPr>
      </w:pPr>
      <w:r>
        <w:rPr>
          <w:rFonts w:cs="Times New Roman" w:ascii="Times New Roman" w:hAnsi="Times New Roman"/>
          <w:color w:val="000000"/>
          <w:sz w:val="28"/>
          <w:szCs w:val="28"/>
        </w:rPr>
        <w:t>3. Рекомендовать руководителям предприятий, организаций всех форм собственности, индивидуальным предпринимателям, физическим лицам при обращении с отработанными ртутьсодержащими лампами руководствоваться Порядком, утвержденным настоящим постановлением.</w:t>
      </w:r>
    </w:p>
    <w:p>
      <w:pPr>
        <w:pStyle w:val="ConsPlusNormal"/>
        <w:spacing w:lineRule="auto" w:line="360"/>
        <w:ind w:firstLine="539"/>
        <w:jc w:val="both"/>
        <w:rPr>
          <w:rFonts w:ascii="Times New Roman" w:hAnsi="Times New Roman" w:cs="Times New Roman"/>
          <w:color w:val="000000"/>
          <w:sz w:val="28"/>
          <w:szCs w:val="28"/>
        </w:rPr>
      </w:pPr>
      <w:r>
        <w:rPr>
          <w:rFonts w:cs="Times New Roman" w:ascii="Times New Roman" w:hAnsi="Times New Roman"/>
          <w:color w:val="000000"/>
          <w:sz w:val="28"/>
          <w:szCs w:val="28"/>
        </w:rPr>
        <w:t>4. Настоящее постановление вступает в силу с момента обнародования.</w:t>
      </w:r>
    </w:p>
    <w:p>
      <w:pPr>
        <w:pStyle w:val="ConsPlusNormal"/>
        <w:spacing w:lineRule="auto" w:line="360"/>
        <w:ind w:firstLine="539"/>
        <w:jc w:val="both"/>
        <w:rPr/>
      </w:pPr>
      <w:r>
        <w:rPr>
          <w:rFonts w:cs="Times New Roman" w:ascii="Times New Roman" w:hAnsi="Times New Roman"/>
          <w:color w:val="000000"/>
          <w:sz w:val="28"/>
          <w:szCs w:val="28"/>
        </w:rPr>
        <w:t>5. Разместить настоящее постановление на официальном сайте администрации Шарангского муниципального района.</w:t>
      </w:r>
    </w:p>
    <w:p>
      <w:pPr>
        <w:pStyle w:val="ConsPlusNormal"/>
        <w:spacing w:lineRule="auto" w:line="360"/>
        <w:ind w:firstLine="539"/>
        <w:jc w:val="both"/>
        <w:rPr>
          <w:rFonts w:ascii="Times New Roman" w:hAnsi="Times New Roman" w:cs="Times New Roman"/>
          <w:color w:val="000000"/>
          <w:sz w:val="28"/>
          <w:szCs w:val="28"/>
        </w:rPr>
      </w:pPr>
      <w:r>
        <w:rPr>
          <w:rFonts w:cs="Times New Roman" w:ascii="Times New Roman" w:hAnsi="Times New Roman"/>
          <w:b w:val="false"/>
          <w:color w:val="000000"/>
          <w:sz w:val="28"/>
          <w:szCs w:val="28"/>
        </w:rPr>
        <w:t>6. Контроль за исполнением постановления возложить на заместителя главы администрации Д.О. Ожиганова.</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9"/>
          <w:tab w:val="left" w:pos="8220" w:leader="none"/>
        </w:tabs>
        <w:jc w:val="both"/>
        <w:rPr/>
      </w:pPr>
      <w:r>
        <w:rPr>
          <w:sz w:val="28"/>
          <w:szCs w:val="28"/>
        </w:rPr>
        <w:t>Глава администрации</w:t>
        <w:tab/>
        <w:t>О.Л. Зыков</w:t>
      </w:r>
      <w:r>
        <w:br w:type="page"/>
      </w:r>
    </w:p>
    <w:p>
      <w:pPr>
        <w:pStyle w:val="ConsPlusNormal"/>
        <w:widowControl w:val="false"/>
        <w:numPr>
          <w:ilvl w:val="0"/>
          <w:numId w:val="0"/>
        </w:numPr>
        <w:suppressAutoHyphens w:val="true"/>
        <w:overflowPunct w:val="false"/>
        <w:bidi w:val="0"/>
        <w:ind w:left="4535" w:right="0" w:hanging="0"/>
        <w:jc w:val="center"/>
        <w:outlineLvl w:val="0"/>
        <w:rPr>
          <w:rFonts w:ascii="Times New Roman" w:hAnsi="Times New Roman" w:cs="Times New Roman"/>
          <w:color w:val="000000"/>
          <w:sz w:val="24"/>
          <w:szCs w:val="24"/>
        </w:rPr>
      </w:pPr>
      <w:r>
        <w:rPr>
          <w:rFonts w:cs="Times New Roman" w:ascii="Times New Roman" w:hAnsi="Times New Roman"/>
          <w:color w:val="000000"/>
          <w:sz w:val="24"/>
          <w:szCs w:val="24"/>
        </w:rPr>
        <w:t>Приложение</w:t>
      </w:r>
    </w:p>
    <w:p>
      <w:pPr>
        <w:pStyle w:val="ConsPlusNormal"/>
        <w:widowControl w:val="false"/>
        <w:numPr>
          <w:ilvl w:val="0"/>
          <w:numId w:val="0"/>
        </w:numPr>
        <w:suppressAutoHyphens w:val="true"/>
        <w:overflowPunct w:val="false"/>
        <w:bidi w:val="0"/>
        <w:ind w:left="4535" w:right="0" w:hanging="0"/>
        <w:jc w:val="center"/>
        <w:rPr>
          <w:sz w:val="24"/>
          <w:szCs w:val="24"/>
        </w:rPr>
      </w:pPr>
      <w:r>
        <w:rPr>
          <w:rFonts w:cs="Times New Roman" w:ascii="Times New Roman" w:hAnsi="Times New Roman"/>
          <w:color w:val="000000"/>
          <w:sz w:val="24"/>
          <w:szCs w:val="24"/>
        </w:rPr>
        <w:t>к постановлению администрации</w:t>
      </w:r>
    </w:p>
    <w:p>
      <w:pPr>
        <w:pStyle w:val="ConsPlusNormal"/>
        <w:widowControl w:val="false"/>
        <w:numPr>
          <w:ilvl w:val="0"/>
          <w:numId w:val="0"/>
        </w:numPr>
        <w:suppressAutoHyphens w:val="true"/>
        <w:overflowPunct w:val="false"/>
        <w:bidi w:val="0"/>
        <w:ind w:left="4535"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Шарангского муниципального района</w:t>
      </w:r>
    </w:p>
    <w:p>
      <w:pPr>
        <w:pStyle w:val="ConsPlusNormal"/>
        <w:widowControl w:val="false"/>
        <w:numPr>
          <w:ilvl w:val="0"/>
          <w:numId w:val="0"/>
        </w:numPr>
        <w:suppressAutoHyphens w:val="true"/>
        <w:overflowPunct w:val="false"/>
        <w:bidi w:val="0"/>
        <w:ind w:left="4535"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Нижегородской области</w:t>
      </w:r>
    </w:p>
    <w:p>
      <w:pPr>
        <w:pStyle w:val="ConsPlusNormal"/>
        <w:widowControl w:val="false"/>
        <w:numPr>
          <w:ilvl w:val="0"/>
          <w:numId w:val="0"/>
        </w:numPr>
        <w:suppressAutoHyphens w:val="true"/>
        <w:overflowPunct w:val="false"/>
        <w:bidi w:val="0"/>
        <w:ind w:left="4535" w:right="0" w:hanging="0"/>
        <w:jc w:val="center"/>
        <w:rPr>
          <w:sz w:val="24"/>
          <w:szCs w:val="24"/>
        </w:rPr>
      </w:pPr>
      <w:r>
        <w:rPr>
          <w:rFonts w:cs="Times New Roman" w:ascii="Times New Roman" w:hAnsi="Times New Roman"/>
          <w:color w:val="000000"/>
          <w:sz w:val="24"/>
          <w:szCs w:val="24"/>
        </w:rPr>
        <w:t>от 10.04.2019 № 209</w:t>
      </w:r>
    </w:p>
    <w:p>
      <w:pPr>
        <w:pStyle w:val="ConsPlusNormal"/>
        <w:widowControl w:val="false"/>
        <w:numPr>
          <w:ilvl w:val="0"/>
          <w:numId w:val="0"/>
        </w:numPr>
        <w:suppressAutoHyphens w:val="true"/>
        <w:overflowPunct w:val="false"/>
        <w:bidi w:val="0"/>
        <w:ind w:left="4535" w:right="0" w:hanging="0"/>
        <w:jc w:val="center"/>
        <w:rPr>
          <w:rFonts w:ascii="Times New Roman" w:hAnsi="Times New Roman" w:cs="Times New Roman"/>
          <w:color w:val="000000"/>
        </w:rPr>
      </w:pPr>
      <w:r>
        <w:rPr>
          <w:sz w:val="24"/>
          <w:szCs w:val="24"/>
        </w:rPr>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Title"/>
        <w:widowControl w:val="false"/>
        <w:bidi w:val="0"/>
        <w:ind w:left="0" w:right="0" w:hanging="0"/>
        <w:jc w:val="center"/>
        <w:rPr>
          <w:rFonts w:ascii="Times New Roman" w:hAnsi="Times New Roman" w:cs="Times New Roman"/>
          <w:sz w:val="24"/>
          <w:szCs w:val="24"/>
        </w:rPr>
      </w:pPr>
      <w:bookmarkStart w:id="0" w:name="Par35"/>
      <w:bookmarkEnd w:id="0"/>
      <w:r>
        <w:rPr>
          <w:rFonts w:cs="Times New Roman" w:ascii="Times New Roman" w:hAnsi="Times New Roman"/>
          <w:sz w:val="24"/>
          <w:szCs w:val="24"/>
        </w:rPr>
        <w:t>ПОРЯДОК</w:t>
      </w:r>
    </w:p>
    <w:p>
      <w:pPr>
        <w:pStyle w:val="ConsPlusTitle"/>
        <w:widowControl w:val="false"/>
        <w:bidi w:val="0"/>
        <w:ind w:left="0" w:right="0" w:hanging="0"/>
        <w:jc w:val="center"/>
        <w:rPr>
          <w:rFonts w:ascii="Times New Roman" w:hAnsi="Times New Roman" w:cs="Times New Roman"/>
          <w:sz w:val="24"/>
          <w:szCs w:val="24"/>
        </w:rPr>
      </w:pPr>
      <w:r>
        <w:rPr>
          <w:rFonts w:cs="Times New Roman" w:ascii="Times New Roman" w:hAnsi="Times New Roman"/>
          <w:sz w:val="24"/>
          <w:szCs w:val="24"/>
        </w:rPr>
        <w:t>ОРГАНИЗАЦИИ СБОРА И ОПРЕДЕЛЕНИЯ МЕСТА ПЕРВИЧНОГО СБОРА</w:t>
      </w:r>
    </w:p>
    <w:p>
      <w:pPr>
        <w:pStyle w:val="ConsPlusTitle"/>
        <w:widowControl w:val="false"/>
        <w:bidi w:val="0"/>
        <w:ind w:left="0" w:right="0" w:hanging="0"/>
        <w:jc w:val="center"/>
        <w:rPr>
          <w:rFonts w:ascii="Times New Roman" w:hAnsi="Times New Roman" w:cs="Times New Roman"/>
          <w:sz w:val="24"/>
          <w:szCs w:val="24"/>
        </w:rPr>
      </w:pPr>
      <w:r>
        <w:rPr>
          <w:rFonts w:cs="Times New Roman" w:ascii="Times New Roman" w:hAnsi="Times New Roman"/>
          <w:sz w:val="24"/>
          <w:szCs w:val="24"/>
        </w:rPr>
        <w:t>И РАЗМЕЩЕНИЯ ОТРАБОТАННЫХ РТУТЬСОДЕРЖАЩИХ ЛАМП НА ТЕРРИТОРИИ</w:t>
      </w:r>
    </w:p>
    <w:p>
      <w:pPr>
        <w:pStyle w:val="ConsPlusTitle"/>
        <w:widowControl w:val="false"/>
        <w:bidi w:val="0"/>
        <w:ind w:left="0" w:right="0" w:hanging="0"/>
        <w:jc w:val="center"/>
        <w:rPr>
          <w:rFonts w:ascii="Times New Roman" w:hAnsi="Times New Roman" w:cs="Times New Roman"/>
          <w:sz w:val="24"/>
          <w:szCs w:val="24"/>
        </w:rPr>
      </w:pPr>
      <w:r>
        <w:rPr>
          <w:rFonts w:cs="Times New Roman" w:ascii="Times New Roman" w:hAnsi="Times New Roman"/>
          <w:sz w:val="24"/>
          <w:szCs w:val="24"/>
        </w:rPr>
        <w:t>ШАРАНГСКОГО МУНИЦИПАЛЬНОГО РАЙОНА</w:t>
      </w:r>
    </w:p>
    <w:p>
      <w:pPr>
        <w:pStyle w:val="ConsPlusNormal"/>
        <w:widowControl w:val="false"/>
        <w:bidi w:val="0"/>
        <w:ind w:left="0" w:right="0" w:hanging="0"/>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Title"/>
        <w:widowControl w:val="false"/>
        <w:numPr>
          <w:ilvl w:val="0"/>
          <w:numId w:val="0"/>
        </w:numPr>
        <w:bidi w:val="0"/>
        <w:ind w:left="0" w:right="0" w:hanging="0"/>
        <w:jc w:val="center"/>
        <w:outlineLvl w:val="1"/>
        <w:rPr>
          <w:rFonts w:ascii="Times New Roman" w:hAnsi="Times New Roman" w:cs="Times New Roman"/>
          <w:sz w:val="24"/>
          <w:szCs w:val="24"/>
        </w:rPr>
      </w:pPr>
      <w:r>
        <w:rPr>
          <w:rFonts w:cs="Times New Roman" w:ascii="Times New Roman" w:hAnsi="Times New Roman"/>
          <w:sz w:val="24"/>
          <w:szCs w:val="24"/>
        </w:rPr>
        <w:t>1. Общие положения</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1.1. Порядок организации сбора и определения места первичного сбора и размещения отработанных ртутьсодержащих ламп на территории Шарангского муниципального района (далее - Порядок) разработан в целях предотвращения неблагоприятного воздействия на здоровье граждан и окружающую среду отработанных ртутьсодержащих ламп путем организации их сбора.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1.2. Порядок разработан в соответствии с Федеральным законом от 24.06.1998 N 89-ФЗ "Об отходах производства и потребления", ГОСТ 12.3.031-83 "Система стандартов безопасности труда. Работы со ртутью. Требования безопасности", постановлением Правительства РФ от 03.09.2010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1.3. Настоящий Порядок является обязательным для исполнения юридическими лицами (независимо от организационно-правовой формы), в том числе осуществляющими управление многоквартирными домами на основании заключенного договора или заключившими с собственниками помещений многоквартирного дома договоры на оказание услуг по содержанию и ремонту общего имущества в таком доме (далее - юридические лица и индивидуальные предприниматели), а также физическими лицами, проживающими на территории Шарангского муниципального района (далее - потребители).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1.4. Понятия "отработанные ртутьсодержащие лампы", "потребители ртутьсодержащих ламп", "накопление", "специализированные организации", "место первичного сбора и размещения", "тара" используются в значениях, указанных в Правилах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 утвержденных постановлением Правительства РФ от 03.09.2010 N 681.</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Title"/>
        <w:widowControl w:val="false"/>
        <w:numPr>
          <w:ilvl w:val="0"/>
          <w:numId w:val="0"/>
        </w:numPr>
        <w:autoSpaceDE w:val="false"/>
        <w:bidi w:val="0"/>
        <w:ind w:left="0" w:right="0" w:hanging="0"/>
        <w:jc w:val="center"/>
        <w:outlineLvl w:val="1"/>
        <w:rPr>
          <w:rFonts w:ascii="Times New Roman" w:hAnsi="Times New Roman" w:cs="Times New Roman"/>
          <w:sz w:val="24"/>
          <w:szCs w:val="24"/>
        </w:rPr>
      </w:pPr>
      <w:r>
        <w:rPr>
          <w:rFonts w:cs="Times New Roman" w:ascii="Times New Roman" w:hAnsi="Times New Roman"/>
          <w:sz w:val="24"/>
          <w:szCs w:val="24"/>
        </w:rPr>
        <w:t>2. Организация сбора отработанных ртутьсодержащих ламп</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2.1. Сбору в соответствии с Порядком подлежат осветительные устройства и электрические лампы с ртутным заполнением и содержанием ртути не менее 0,01 процента, выведенные из эксплуатации и подлежащие утилизации.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2.2. Юридические лица и индивидуальные предприниматели, эксплуатирующие осветительные устройства и электрические лампы с ртутным заполнением, должны вести постоянный учет получаемых и отработанных ртутьсодержащих ламп.</w:t>
      </w:r>
    </w:p>
    <w:p>
      <w:pPr>
        <w:pStyle w:val="ConsPlusNormal"/>
        <w:ind w:left="0" w:right="0" w:firstLine="567"/>
        <w:jc w:val="both"/>
        <w:rPr>
          <w:sz w:val="24"/>
          <w:szCs w:val="24"/>
        </w:rPr>
      </w:pPr>
      <w:r>
        <w:rPr>
          <w:rFonts w:cs="Times New Roman" w:ascii="Times New Roman" w:hAnsi="Times New Roman"/>
          <w:color w:val="000000"/>
          <w:sz w:val="24"/>
          <w:szCs w:val="24"/>
        </w:rPr>
        <w:t>2.2.1.Место первичного сбора и размещения отработанных ртутьсодержащих ламп у потребителей ртутьсодержащих ламп, являющихся собственниками, нанимателями, пользователями помещений в многоквартирных домах, определяется собственниками помещений в многоквартирных домах или по их поручению лицами, осуществляющими управление многоквартирными домами на основании заключенного договора управления или договора оказания услуг и (или) выполнения работ по содержанию и ремонту общего имущества в таких домах, по согласованию с соответствующей специализированной организацией.</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2.3. Юридические лица или индивидуальные предприниматели, не имеющие лицензии на осуществление деятельности по обезвреживанию и размещению отходов I - IV класса опасности, осуществляют накопление отработанных ртутьсодержащих ламп.</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2.4. Накопление отработанных ртутьсодержащих ламп от физических лиц, проживающих в жилых многоквартирных домах, производят:</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а) при управлении управляющей организацией - юридические лица и индивидуальные предприниматели, осуществляющие управление многоквартирными домами на основании заключенного договора с собственниками помещений многоквартирного дома;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б) при управлении товариществом собственников жилья либо жилищным кооперативом или иным специализированным потребительским кооперативом - товарищество собственников жилья, либо жилищный кооператив или иной специализированный потребительский кооператив, либо юридические лица и индивидуальные предприниматели, заключившие с указанными организациями договоры на оказание услуг по содержанию и ремонту общего имущества;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в) при непосредственном управлении собственниками помещений в многоквартирном доме:</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юридические лица и индивидуальные предприниматели, заключившие с собственниками помещений многоквартирного дома договоры на оказание услуг по содержанию и ремонту общего имущества в таком доме.</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2.5. Физические лица, проживающие в частном секторе, обязаны сдавать отработанные ртутьсодержащие лампы юридическим лицам и индивидуальным предпринимателям, имеющим лицензии на осуществление деятельности по сбору, использованию, обезвреживанию, транспортированию, размещению отходов I - IV класса опасности (далее - специализированные организации), в соответствии с заключенными договорами на сбор и вывоз указанных отходов.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2.6. Накопление отработанных ртутьсодержащих ламп в местах, являющихся общим имуществом собственников помещений многоквартирного дома, не допускается.</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2.7. Накопление должно производиться в соответствии с требованиями ГОСТ 12.3.031-83 "Система стандартов безопасности труда. Работы со ртутью. Требования безопасности".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2.8. Накопление отработанных ртутьсодержащих ламп производится отдельно от других видов отходов.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2.9. Хранение отработанных ртутьсодержащих ламп производится в специально выделенном для этих целей помещении, защищенном от химически агрессивных веществ, атмосферных осадков, поверхностных и грунтовых вод, в местах, исключающих повреждение тары.</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2.10. Не допускается совместное хранение поврежденных и неповрежденных ртутьсодержащих ламп. Хранение поврежденных ртутьсодержащих ламп осуществляется в таре.</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2.11. Юридические лица и индивидуальные предприниматели назначают в установленном порядке ответственных лиц за обращение с указанными отходами, разрабатывают инструкции по организации накопления отработанных ртутьсодержащих отходов применительно к конкретным условиям. При разработке инструкции юридические лица и индивидуальные предприниматели могут руководствоваться типовой инструкцией согласно приложению 1 к настоящему Порядку.</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2.12. Не допускается самостоятельное обезвреживание, использование, транспортирование и размещение отработанных ртутьсодержащих ламп потребителями отработанных ртутьсодержащих ламп, а также их накопление в местах, являющихся общим имуществом собственников помещений многоквартирного дома, за исключением размещения в местах первичного сбора и размещения и транспортирования до них.</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2.13. Сбор и утилизацию отработанных ртутьсодержащих ламп на территории Шарангского муниципального района, в том числе прием отработанных ртутьсодержащих ламп от населения, осуществляют специализированные организации путем заключения соответствующих договоров на оказание услуг по сбору и вывозу ртутьсодержащих отходов.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2.14. Самостоятельное транспортирование отработанных ртутьсодержащих ламп потребителями до первичного места сбора и размещения отработанных ртутьсодержащих ламп допускается в неповрежденной таре из-под ртутьсодержащих ламп аналогичного размера или иной таре, обеспечивающей сохранность таких ламп при их транспортировании.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2.15. Для транспортирования отработанных ртутьсодержащих ламп используется тара, обеспечивающая герметичность и исключающая возможность загрязнения окружающей среды.</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Title"/>
        <w:widowControl w:val="false"/>
        <w:numPr>
          <w:ilvl w:val="0"/>
          <w:numId w:val="0"/>
        </w:numPr>
        <w:autoSpaceDE w:val="false"/>
        <w:bidi w:val="0"/>
        <w:ind w:left="0" w:right="0" w:hanging="0"/>
        <w:jc w:val="center"/>
        <w:outlineLvl w:val="1"/>
        <w:rPr>
          <w:rFonts w:ascii="Times New Roman" w:hAnsi="Times New Roman" w:cs="Times New Roman"/>
          <w:sz w:val="24"/>
          <w:szCs w:val="24"/>
        </w:rPr>
      </w:pPr>
      <w:r>
        <w:rPr>
          <w:rFonts w:cs="Times New Roman" w:ascii="Times New Roman" w:hAnsi="Times New Roman"/>
          <w:sz w:val="24"/>
          <w:szCs w:val="24"/>
        </w:rPr>
        <w:t>3. Информирование населения</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left="0" w:right="0" w:firstLine="567"/>
        <w:jc w:val="both"/>
        <w:rPr>
          <w:sz w:val="24"/>
          <w:szCs w:val="24"/>
        </w:rPr>
      </w:pPr>
      <w:r>
        <w:rPr>
          <w:rFonts w:cs="Times New Roman" w:ascii="Times New Roman" w:hAnsi="Times New Roman"/>
          <w:color w:val="000000"/>
          <w:sz w:val="24"/>
          <w:szCs w:val="24"/>
        </w:rPr>
        <w:t>3.1. Информирование населения о Порядке осуществляется администрацией Шарангского муниципального района, специализированными организациями, а также юридическими лицами и индивидуальными предпринимателями, осуществляющими накопление и реализацию ртутьсодержащих ламп.</w:t>
      </w:r>
    </w:p>
    <w:p>
      <w:pPr>
        <w:pStyle w:val="ConsPlusNormal"/>
        <w:ind w:left="0" w:right="0" w:firstLine="567"/>
        <w:jc w:val="both"/>
        <w:rPr>
          <w:sz w:val="24"/>
          <w:szCs w:val="24"/>
        </w:rPr>
      </w:pPr>
      <w:r>
        <w:rPr>
          <w:rFonts w:cs="Times New Roman" w:ascii="Times New Roman" w:hAnsi="Times New Roman"/>
          <w:color w:val="000000"/>
          <w:sz w:val="24"/>
          <w:szCs w:val="24"/>
        </w:rPr>
        <w:t>3.2. Информация о Порядке размещается на официальном сайте администрации Шарангского муниципального района Нижегородской области, в местах реализации ртутьсодержащих ламп, по месту нахождения специализированных организаций.</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3.3. Юридические лица и индивидуальные предприниматели, осуществляющие управление многоквартирными домами на основании заключенного договора или заключившие с собственниками помещений многоквартирного дома договоры на оказание услуг по содержанию и ремонту общего имущества в таком доме, доводят информацию о правилах обращения с отработанными ртутьсодержащими лампами до сведения собственников помещений жилых многоквартирных домов путем размещения информации, указанной в п. 3.4 настоящего Порядка, на информационных стендах управляющей организации.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3.4. Размещению подлежит следующая информация:</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Порядок организации сбора, размещения, накопления отработанных ртутьсодержащих ламп;</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перечень специализированных организаций, осуществляющих сбор, транспортировку, хранение и размещение ртутьсодержащих отходов, проведение демеркуризационных мероприятий, с указанием места нахождения и контактных телефонов;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места и условия приема отработанных ртутьсодержащих ламп;</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стоимость услуг по приему отработанных ртутьсодержащих ламп.</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Title"/>
        <w:widowControl w:val="false"/>
        <w:numPr>
          <w:ilvl w:val="0"/>
          <w:numId w:val="0"/>
        </w:numPr>
        <w:autoSpaceDE w:val="false"/>
        <w:bidi w:val="0"/>
        <w:ind w:left="0" w:right="0" w:hanging="0"/>
        <w:jc w:val="center"/>
        <w:outlineLvl w:val="1"/>
        <w:rPr>
          <w:rFonts w:ascii="Times New Roman" w:hAnsi="Times New Roman" w:cs="Times New Roman"/>
          <w:sz w:val="24"/>
          <w:szCs w:val="24"/>
        </w:rPr>
      </w:pPr>
      <w:r>
        <w:rPr>
          <w:rFonts w:cs="Times New Roman" w:ascii="Times New Roman" w:hAnsi="Times New Roman"/>
          <w:sz w:val="24"/>
          <w:szCs w:val="24"/>
        </w:rPr>
        <w:t>4. Ответственность за нарушение правил обращения</w:t>
      </w:r>
    </w:p>
    <w:p>
      <w:pPr>
        <w:pStyle w:val="ConsPlusTitle"/>
        <w:widowControl w:val="false"/>
        <w:numPr>
          <w:ilvl w:val="0"/>
          <w:numId w:val="0"/>
        </w:numPr>
        <w:autoSpaceDE w:val="false"/>
        <w:bidi w:val="0"/>
        <w:ind w:left="0" w:right="0" w:hanging="0"/>
        <w:jc w:val="center"/>
        <w:rPr>
          <w:rFonts w:ascii="Times New Roman" w:hAnsi="Times New Roman" w:cs="Times New Roman"/>
          <w:sz w:val="24"/>
          <w:szCs w:val="24"/>
        </w:rPr>
      </w:pPr>
      <w:r>
        <w:rPr>
          <w:rFonts w:cs="Times New Roman" w:ascii="Times New Roman" w:hAnsi="Times New Roman"/>
          <w:sz w:val="24"/>
          <w:szCs w:val="24"/>
        </w:rPr>
        <w:t>с отработанными ртутьсодержащими лампами юридических,</w:t>
      </w:r>
    </w:p>
    <w:p>
      <w:pPr>
        <w:pStyle w:val="ConsPlusTitle"/>
        <w:widowControl w:val="false"/>
        <w:numPr>
          <w:ilvl w:val="0"/>
          <w:numId w:val="0"/>
        </w:numPr>
        <w:autoSpaceDE w:val="false"/>
        <w:bidi w:val="0"/>
        <w:ind w:left="0" w:right="0" w:hanging="0"/>
        <w:jc w:val="center"/>
        <w:rPr>
          <w:rFonts w:ascii="Times New Roman" w:hAnsi="Times New Roman" w:cs="Times New Roman"/>
          <w:sz w:val="24"/>
          <w:szCs w:val="24"/>
        </w:rPr>
      </w:pPr>
      <w:r>
        <w:rPr>
          <w:rFonts w:cs="Times New Roman" w:ascii="Times New Roman" w:hAnsi="Times New Roman"/>
          <w:sz w:val="24"/>
          <w:szCs w:val="24"/>
        </w:rPr>
        <w:t>должностных лиц и граждан</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4.1. За нарушение правил обращения с отработанными ртутьсодержащими лампами потребители несут ответственность в соответствии с действующим законодательством Российской Федерации и Нижегородской области.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4.2. Контроль за соблюдением требований в области обращения с отработанными ртутьсодержащими лампами осуществляется органами государственного контроля в области обращения с отходами производства и потребления на объектах хозяйственной и иной деятельности независимо от форм собственности, находящимися на территории Нижегородской области.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4.3. Применение мер административной ответственности не освобождает нарушителя от обязанности возмещения причиненного им материального ущерба в соответствии с действующим законодательством и устранения допущенных нарушений.</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numPr>
          <w:ilvl w:val="0"/>
          <w:numId w:val="0"/>
        </w:numPr>
        <w:ind w:left="0" w:right="0" w:firstLine="567"/>
        <w:jc w:val="right"/>
        <w:outlineLvl w:val="1"/>
        <w:rPr>
          <w:rFonts w:ascii="Times New Roman" w:hAnsi="Times New Roman" w:cs="Times New Roman"/>
          <w:color w:val="000000"/>
          <w:sz w:val="24"/>
          <w:szCs w:val="24"/>
        </w:rPr>
      </w:pPr>
      <w:r>
        <w:rPr>
          <w:rFonts w:cs="Times New Roman" w:ascii="Times New Roman" w:hAnsi="Times New Roman"/>
          <w:color w:val="000000"/>
          <w:sz w:val="24"/>
          <w:szCs w:val="24"/>
        </w:rPr>
      </w:r>
      <w:r>
        <w:br w:type="page"/>
      </w:r>
    </w:p>
    <w:p>
      <w:pPr>
        <w:pStyle w:val="ConsPlusNormal"/>
        <w:widowControl w:val="false"/>
        <w:numPr>
          <w:ilvl w:val="0"/>
          <w:numId w:val="0"/>
        </w:numPr>
        <w:suppressAutoHyphens w:val="true"/>
        <w:overflowPunct w:val="false"/>
        <w:bidi w:val="0"/>
        <w:ind w:left="4535" w:right="0" w:hanging="0"/>
        <w:jc w:val="center"/>
        <w:outlineLvl w:val="1"/>
        <w:rPr>
          <w:rFonts w:ascii="Times New Roman" w:hAnsi="Times New Roman" w:cs="Times New Roman"/>
          <w:color w:val="000000"/>
          <w:sz w:val="24"/>
          <w:szCs w:val="24"/>
        </w:rPr>
      </w:pPr>
      <w:r>
        <w:rPr>
          <w:rFonts w:cs="Times New Roman" w:ascii="Times New Roman" w:hAnsi="Times New Roman"/>
          <w:color w:val="000000"/>
          <w:sz w:val="24"/>
          <w:szCs w:val="24"/>
        </w:rPr>
        <w:t>Приложение 1</w:t>
      </w:r>
    </w:p>
    <w:p>
      <w:pPr>
        <w:pStyle w:val="ConsPlusNormal"/>
        <w:widowControl w:val="false"/>
        <w:numPr>
          <w:ilvl w:val="0"/>
          <w:numId w:val="0"/>
        </w:numPr>
        <w:suppressAutoHyphens w:val="true"/>
        <w:overflowPunct w:val="false"/>
        <w:bidi w:val="0"/>
        <w:ind w:left="4535"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к Порядку</w:t>
      </w:r>
    </w:p>
    <w:p>
      <w:pPr>
        <w:pStyle w:val="ConsPlusNormal"/>
        <w:widowControl w:val="false"/>
        <w:numPr>
          <w:ilvl w:val="0"/>
          <w:numId w:val="0"/>
        </w:numPr>
        <w:suppressAutoHyphens w:val="true"/>
        <w:overflowPunct w:val="false"/>
        <w:bidi w:val="0"/>
        <w:ind w:left="4535"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организации сбора и определения</w:t>
      </w:r>
    </w:p>
    <w:p>
      <w:pPr>
        <w:pStyle w:val="ConsPlusNormal"/>
        <w:widowControl w:val="false"/>
        <w:numPr>
          <w:ilvl w:val="0"/>
          <w:numId w:val="0"/>
        </w:numPr>
        <w:suppressAutoHyphens w:val="true"/>
        <w:overflowPunct w:val="false"/>
        <w:bidi w:val="0"/>
        <w:ind w:left="4535"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места первичного сбора и размещения</w:t>
      </w:r>
    </w:p>
    <w:p>
      <w:pPr>
        <w:pStyle w:val="ConsPlusNormal"/>
        <w:widowControl w:val="false"/>
        <w:numPr>
          <w:ilvl w:val="0"/>
          <w:numId w:val="0"/>
        </w:numPr>
        <w:suppressAutoHyphens w:val="true"/>
        <w:overflowPunct w:val="false"/>
        <w:bidi w:val="0"/>
        <w:ind w:left="4535"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отработанных ртутьсодержащих ламп</w:t>
      </w:r>
    </w:p>
    <w:p>
      <w:pPr>
        <w:pStyle w:val="ConsPlusNormal"/>
        <w:widowControl w:val="false"/>
        <w:numPr>
          <w:ilvl w:val="0"/>
          <w:numId w:val="0"/>
        </w:numPr>
        <w:suppressAutoHyphens w:val="true"/>
        <w:overflowPunct w:val="false"/>
        <w:bidi w:val="0"/>
        <w:ind w:left="4535"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на территории Шарангского</w:t>
      </w:r>
    </w:p>
    <w:p>
      <w:pPr>
        <w:pStyle w:val="ConsPlusNormal"/>
        <w:widowControl w:val="false"/>
        <w:numPr>
          <w:ilvl w:val="0"/>
          <w:numId w:val="0"/>
        </w:numPr>
        <w:suppressAutoHyphens w:val="true"/>
        <w:overflowPunct w:val="false"/>
        <w:bidi w:val="0"/>
        <w:ind w:left="4535" w:right="0"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муниципального района</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Title"/>
        <w:ind w:left="0" w:right="0" w:firstLine="567"/>
        <w:jc w:val="center"/>
        <w:rPr>
          <w:rFonts w:ascii="Times New Roman" w:hAnsi="Times New Roman" w:cs="Times New Roman"/>
          <w:sz w:val="24"/>
          <w:szCs w:val="24"/>
        </w:rPr>
      </w:pPr>
      <w:bookmarkStart w:id="1" w:name="Par102"/>
      <w:bookmarkEnd w:id="1"/>
      <w:r>
        <w:rPr>
          <w:rFonts w:cs="Times New Roman" w:ascii="Times New Roman" w:hAnsi="Times New Roman"/>
          <w:sz w:val="24"/>
          <w:szCs w:val="24"/>
        </w:rPr>
        <w:t>ТИПОВАЯ ИНСТРУКЦИЯ</w:t>
      </w:r>
    </w:p>
    <w:p>
      <w:pPr>
        <w:pStyle w:val="ConsPlusTitle"/>
        <w:ind w:left="0" w:right="0" w:firstLine="567"/>
        <w:jc w:val="center"/>
        <w:rPr>
          <w:rFonts w:ascii="Times New Roman" w:hAnsi="Times New Roman" w:cs="Times New Roman"/>
          <w:sz w:val="24"/>
          <w:szCs w:val="24"/>
        </w:rPr>
      </w:pPr>
      <w:r>
        <w:rPr>
          <w:rFonts w:cs="Times New Roman" w:ascii="Times New Roman" w:hAnsi="Times New Roman"/>
          <w:sz w:val="24"/>
          <w:szCs w:val="24"/>
        </w:rPr>
        <w:t>ПО ОРГАНИЗАЦИИ НАКОПЛЕНИЯ ОТРАБОТАННЫХ</w:t>
      </w:r>
    </w:p>
    <w:p>
      <w:pPr>
        <w:pStyle w:val="ConsPlusTitle"/>
        <w:ind w:left="0" w:right="0" w:firstLine="567"/>
        <w:jc w:val="center"/>
        <w:rPr>
          <w:rFonts w:ascii="Times New Roman" w:hAnsi="Times New Roman" w:cs="Times New Roman"/>
          <w:sz w:val="24"/>
          <w:szCs w:val="24"/>
        </w:rPr>
      </w:pPr>
      <w:r>
        <w:rPr>
          <w:rFonts w:cs="Times New Roman" w:ascii="Times New Roman" w:hAnsi="Times New Roman"/>
          <w:sz w:val="24"/>
          <w:szCs w:val="24"/>
        </w:rPr>
        <w:t>РТУТЬСОДЕРЖАЩИХ ОТХОДОВ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Отработанные ртутьсодержащие лампы относятся к первому классу опасности и при неправильном обращении являются источником повышенной опасности в связи с возможностью острых и хронических отравлений парами ртути, а также ртутного загрязнения помещений, территорий, воздуха, почвы, воды.</w:t>
      </w:r>
    </w:p>
    <w:p>
      <w:pPr>
        <w:pStyle w:val="ConsPlusNormal"/>
        <w:ind w:left="0" w:right="0" w:firstLine="567"/>
        <w:jc w:val="both"/>
        <w:rPr>
          <w:sz w:val="24"/>
          <w:szCs w:val="24"/>
        </w:rPr>
      </w:pPr>
      <w:r>
        <w:rPr>
          <w:rFonts w:cs="Times New Roman" w:ascii="Times New Roman" w:hAnsi="Times New Roman"/>
          <w:color w:val="000000"/>
          <w:sz w:val="24"/>
          <w:szCs w:val="24"/>
        </w:rPr>
        <w:t>Лица, ответственные за накопление отработанных ртутьсодержащих ламп, назначаются приказом по предприятию (организации), должны пройти специальное обучение, предварительный медицинский осмотр и быть обеспечены средствами индивидуальной защиты органов дыхания (СИЗОД), специальной одеждой, специальной обувью, средствами индивидуальной защиты рук и глаз.</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Отработанные ртутьсодержащие лампы подлежат строгому учету с записями о приходе, расходе, перемещении и приходе в негодность в специальном журнале.</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Накопление ртутьсодержащих ламп без повреждения осуществляется в заводской таре и должно быть сосредоточено в специальных помещениях, закрепленных за ответственным лицом, при обеспечении полной сохранности. Помещения для накопления ламп должны быть обеспечены автономной системой вентиляции, исключающей проход воздуховодов через другие помещения, защищены от химически агрессивных сред, атмосферных осадков, грунтовых вод. Двери помещения должны быть надежно закрыты и иметь надпись "Посторонним вход воспрещен".</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Зоны возможного заражения необходимо снабдить средствами индивидуальной защиты органов дыхания, доступными для свободного использования в аварийных ситуациях.</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При разбивании отработанных ртутьсодержащих ламп необходимые демеркуризационные работы, т.е. работы по удалению ртути, осуществляются лицами, ответственными за накопление отработанных ртутьсодержащих ламп на предприятии (организации).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В случае выявления разбитых ртутьсодержащих ламп необходимо:</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поставить в известность руководителя предприятия (организации);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удалить из помещения персонал, не занятый демеркуризационными работами;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собрать осколки ламп подручными приспособлениями;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убедиться путем тщательного осмотра в полноте сбора осколков, в том числе учесть наличие щелей в полу;</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обработать обильно (0,5 - 1,0 л/кв. м) загрязненные места с помощью кисти одним из следующих демеркуризационных растворов: 20-процентным раствором хлорного железа или 10-процентным раствором перманганата калия, подкисленного 5-процентной соляной кислотой;</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оставить демеркуризационный раствор на загрязненном месте на 4 - 6 часов;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тщательно вымыть загрязненный участок мыльной водой;</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после каждого этапа работ тщательно мыть руки. Все работы проводятся в резиновых перчатках и респираторе (марлевой повязке);</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сообщить о происшествии в ЕДДС Шарангского муниципального района Нижегородской области.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При накоплении отработанных ртутьсодержащих ламп запрещается:</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выбрасывать лампы в мусорные контейнеры, закапывать в землю, сжигать загрязненную ртутью тару;</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хранить лампы вблизи нагревательных или отопительных приборов;</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дополнительно разламывать поврежденные ртутные лампы с целью извлечения ртути;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привлекать для работ с отработанными ртутьсодержащими лампами лиц моложе 18 лет.</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Характерными признаками отравления парами ртути являются металлический привкус во рту, разрыхление десен, сильное слюнотечение. Впоследствии развиваются язвы на деснах, происходит выпадение зубов, поражение пищеварительного тракта и нервной системы. При незначительных концентрациях ртути наблюдается легкая возбудимость, мелкая дрожь частей тела, ослабление памяти. При остром отравлении нарушается деятельность кишечника, возникает рвота, распухают губы, десны, постепенно наступает упадок сердечной деятельности.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Первая помощь при отравлении парами ртути или попадании внутрь организма солей ртути:</w:t>
      </w:r>
    </w:p>
    <w:p>
      <w:pPr>
        <w:pStyle w:val="ConsPlusNormal"/>
        <w:ind w:left="0" w:righ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полный покой, полоскание рта слабым раствором бертолетовой соли, 5-процентным раствором хлорида цинка, 2-процентным раствором танина, принятие цистамина (0,3 г). Срочная госпитализация пострадавшего.</w:t>
      </w:r>
    </w:p>
    <w:sectPr>
      <w:headerReference w:type="default" r:id="rId3"/>
      <w:headerReference w:type="first" r:id="rId4"/>
      <w:type w:val="nextPage"/>
      <w:pgSz w:w="11906" w:h="16838"/>
      <w:pgMar w:left="1418" w:right="850" w:header="930" w:top="987" w:footer="0" w:bottom="1118" w:gutter="0"/>
      <w:pgNumType w:fmt="decimal"/>
      <w:formProt w:val="false"/>
      <w:titlePg/>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 w:name="Arial">
    <w:charset w:val="cc"/>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9"/>
      <w:jc w:val="center"/>
      <w:rPr/>
    </w:pPr>
    <w:r>
      <w:rPr/>
      <w:fldChar w:fldCharType="begin"/>
    </w:r>
    <w:r>
      <w:rPr/>
      <w:instrText> PAGE </w:instrText>
    </w:r>
    <w:r>
      <w:rPr/>
      <w:fldChar w:fldCharType="separate"/>
    </w:r>
    <w:r>
      <w:rPr/>
      <w:t>8</w:t>
    </w:r>
    <w:r>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9"/>
      <w:jc w:val="cent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false"/>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overflowPunct w:val="false"/>
      <w:bidi w:val="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name w:val="Font Style14"/>
    <w:basedOn w:val="Style12"/>
    <w:qFormat/>
    <w:rPr>
      <w:rFonts w:ascii="Times New Roman" w:hAnsi="Times New Roman" w:cs="Times New Roman"/>
      <w:sz w:val="26"/>
      <w:szCs w:val="26"/>
    </w:rPr>
  </w:style>
  <w:style w:type="character" w:styleId="Style12">
    <w:name w:val="Основной шрифт абзаца"/>
    <w:qFormat/>
    <w:rPr/>
  </w:style>
  <w:style w:type="paragraph" w:styleId="Style13" w:customStyle="1">
    <w:name w:val="Заголовок"/>
    <w:basedOn w:val="Normal"/>
    <w:next w:val="Style14"/>
    <w:qFormat/>
    <w:rsid w:val="0055234d"/>
    <w:pPr>
      <w:keepNext w:val="true"/>
      <w:spacing w:before="240" w:after="120"/>
    </w:pPr>
    <w:rPr>
      <w:rFonts w:ascii="Liberation Sans;Arial" w:hAnsi="Liberation Sans;Arial" w:eastAsia="Microsoft YaHei" w:cs="Mangal"/>
      <w:sz w:val="28"/>
      <w:szCs w:val="28"/>
    </w:rPr>
  </w:style>
  <w:style w:type="paragraph" w:styleId="Style14">
    <w:name w:val="Body Text"/>
    <w:basedOn w:val="Normal"/>
    <w:rsid w:val="0055234d"/>
    <w:pPr>
      <w:spacing w:lineRule="auto" w:line="360"/>
      <w:jc w:val="center"/>
    </w:pPr>
    <w:rPr>
      <w:rFonts w:ascii="Arial" w:hAnsi="Arial" w:cs="Arial"/>
      <w:b/>
      <w:sz w:val="28"/>
    </w:rPr>
  </w:style>
  <w:style w:type="paragraph" w:styleId="Style15">
    <w:name w:val="List"/>
    <w:basedOn w:val="Style14"/>
    <w:rsid w:val="0055234d"/>
    <w:pPr/>
    <w:rPr>
      <w:rFonts w:cs="Mangal"/>
    </w:rPr>
  </w:style>
  <w:style w:type="paragraph" w:styleId="Style16" w:customStyle="1">
    <w:name w:val="Caption"/>
    <w:basedOn w:val="Normal"/>
    <w:qFormat/>
    <w:rsid w:val="0055234d"/>
    <w:pPr>
      <w:suppressLineNumbers/>
      <w:spacing w:before="120" w:after="120"/>
    </w:pPr>
    <w:rPr>
      <w:rFonts w:cs="Mangal"/>
      <w:i/>
      <w:iCs/>
      <w:sz w:val="24"/>
      <w:szCs w:val="24"/>
    </w:rPr>
  </w:style>
  <w:style w:type="paragraph" w:styleId="Style17">
    <w:name w:val="Указатель"/>
    <w:basedOn w:val="Normal"/>
    <w:qFormat/>
    <w:pPr>
      <w:suppressLineNumbers/>
    </w:pPr>
    <w:rPr>
      <w:rFonts w:cs="Mangal"/>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18">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19" w:customStyle="1">
    <w:name w:val="Header"/>
    <w:basedOn w:val="Normal"/>
    <w:rsid w:val="0055234d"/>
    <w:pPr>
      <w:tabs>
        <w:tab w:val="clear" w:pos="709"/>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0" w:customStyle="1">
    <w:name w:val="Footer"/>
    <w:basedOn w:val="Normal"/>
    <w:rsid w:val="0055234d"/>
    <w:pPr>
      <w:tabs>
        <w:tab w:val="clear" w:pos="709"/>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overflowPunct w:val="false"/>
      <w:bidi w:val="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overflowPunct w:val="false"/>
      <w:bidi w:val="0"/>
      <w:ind w:firstLine="720"/>
      <w:jc w:val="left"/>
    </w:pPr>
    <w:rPr>
      <w:rFonts w:ascii="Arial" w:hAnsi="Arial" w:eastAsia="Times New Roman" w:cs="Arial"/>
      <w:color w:val="00000A"/>
      <w:kern w:val="0"/>
      <w:sz w:val="20"/>
      <w:szCs w:val="20"/>
      <w:lang w:val="ru-RU" w:eastAsia="zh-CN" w:bidi="ar-SA"/>
    </w:rPr>
  </w:style>
  <w:style w:type="paragraph" w:styleId="Style21"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2"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paragraph" w:styleId="ConsPlusTitle">
    <w:name w:val="ConsPlusTitle"/>
    <w:qFormat/>
    <w:pPr>
      <w:widowControl w:val="false"/>
      <w:autoSpaceDE w:val="false"/>
      <w:bidi w:val="0"/>
      <w:jc w:val="left"/>
    </w:pPr>
    <w:rPr>
      <w:rFonts w:ascii="Arial" w:hAnsi="Arial" w:eastAsia="Calibri" w:cs="Arial"/>
      <w:b/>
      <w:bCs/>
      <w:color w:val="auto"/>
      <w:kern w:val="2"/>
      <w:sz w:val="20"/>
      <w:szCs w:val="20"/>
      <w:lang w:val="ru-RU" w:bidi="ar-SA" w:eastAsia="zh-CN"/>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f">
    <w:name w:val="Table Grid"/>
    <w:basedOn w:val="a1"/>
    <w:uiPriority w:val="59"/>
    <w:rsid w:val="00861f26"/>
    <w:rPr>
      <w:rFonts w:asciiTheme="minorHAnsi" w:hAnsiTheme="minorHAnsi" w:eastAsiaTheme="minorHAnsi" w:cstheme="minorBidi"/>
      <w:lang w:eastAsia="en-US" w:bidi="ar-SA"/>
      <w:sz w:val="22"/>
      <w:szCs w:val="22"/>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Application>LibreOffice/6.2.2.2$Windows_X86_64 LibreOffice_project/2b840030fec2aae0fd2658d8d4f9548af4e3518d</Application>
  <Pages>8</Pages>
  <Words>1896</Words>
  <Characters>14709</Characters>
  <CharactersWithSpaces>16507</CharactersWithSpaces>
  <Paragraphs>102</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2019-04-30T10:37:01Z</cp:lastPrinted>
  <dcterms:modified xsi:type="dcterms:W3CDTF">2019-04-30T10:37:52Z</dcterms:modified>
  <cp:revision>64</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