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lang w:val="ru-RU" w:eastAsia="ru-RU"/>
        </w:rPr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0" t="-302" r="-290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10.04.2019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206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 территории </w:t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Шарангского муниципального района </w:t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особого противопожарного режима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Title"/>
        <w:widowControl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Style17"/>
            <w:rFonts w:cs="Times New Roman" w:ascii="Times New Roman" w:hAnsi="Times New Roman"/>
            <w:b w:val="false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от 21 декабря 1994 года № 69-ФЗ «О пожарной безопасности», </w:t>
      </w:r>
      <w:hyperlink r:id="rId4">
        <w:r>
          <w:rPr>
            <w:rStyle w:val="Style17"/>
            <w:rFonts w:cs="Times New Roman" w:ascii="Times New Roman" w:hAnsi="Times New Roman"/>
            <w:b w:val="false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Нижегородской области от 26 октября 1995 года № 16-З «О пожарной безопасности», </w:t>
      </w:r>
      <w:hyperlink r:id="rId5">
        <w:r>
          <w:rPr>
            <w:rStyle w:val="Style17"/>
            <w:rFonts w:cs="Times New Roman" w:ascii="Times New Roman" w:hAnsi="Times New Roman"/>
            <w:b w:val="false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Правительства Нижегородской области от 2 июля 2014 года № 439 «Об утверждении Положения об особом противопожарном режиме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на территории Нижегородской области», в связи с повышением пожарной опасности на территории Шарангского муниципального района Нижегородской области администрация Шарангского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 Установить с 26 апреля 2019 года на территории Шарангского муниципального района Нижегородской области, в том числе на землях лесного фонда, особый противопожарный режим до принятия соответствующего постановления администрации Шарангского муниципального района о его снятии.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2. На период действия особого противопожарного режима установить: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запрет на посещение гражданами лесов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на основании соглашения с департаментом лесного хозяйства Нижегородской области о совместной деятельности, и иных случаев, предусмотренных служебным заданием, связанным с проездом по автомобильным дорогам общего пользования с соблюдением правил пожарной безопасности в лесах;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запрет на проведение сельскохозяйственных палов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sz w:val="28"/>
          <w:szCs w:val="28"/>
        </w:rPr>
        <w:t>на разведение костров, сжигание твердых бытовых отходов, мусора на землях лесного фонда, населенных пунктов,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запрет на использование сооружений для приготовления пищи на углях на землях лесного фонда и прилегающих территориях, а также на земельных участках, примыкающих к землям сельскохозяйственного назначения;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обязательность патрулирования населенных пунктов и лесов силами мобильных оперативных групп из числа работников администраций поселений, сотрудников отделения полиции (дислокация р.п. Шаранга) МО МВД России «Уренский», сотрудников (работников) 119-ПСЧ ФГКУ «28 отряд ФПС», работников Шарангского районного лесничества, работников муниципальной пожарной охраны, членов добровольных пожарных команд (дружин), местного населения с первичными средствами пожаротушения;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-возможность привлечения населения для оказания помощи муниципальной и добровольной пожарной охране;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-обязательность проведения дополнительной противопожарной пропаганды, регулярное освещение в средствах массовой информации правил пожарной безопасности.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3. Рекомендовать главам администраций поселений:</w:t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8"/>
          <w:szCs w:val="28"/>
        </w:rPr>
        <w:t>- организовать неукоснительное выполнение настоящего постановления, а также постановления администрации Шарангского муниципального района от 20.03.2019 года № 145 " Об обеспечении пожарной безопасности объектов и населенных пунктов Шарангского района в весенне-летний период 2019 года", постановления администрации Шарангского муниципального района от 02.04.2019 года № 186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мерах по охране лесов и торфяников Шарангского муниципального района от пожаров в 2019 году»;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-организовать с 26 апреля 2019 года круглосуточное дежурство в администрациях поселений с ежедневным докладом к 8.30 в единую дежурно-диспетчерскую службу Шарангского муниципального района (далее-ЕДДС) о складывающейся оперативной обстановке. Информация о лесных пожарах и о пожарах, возникающих в десятикилометровой зоне от населенных пунктов, направляется немедленно;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-принимать меры по оперативному информированию населения с использованием главных страниц официальных сайтов администраций сельских поселений о введении на территории района особого противопожарного режима и связанных с этим ограничениях; организовать проведение противопожарной пропаганды и регулярную публикацию материалов о необходимости соблюдении правил пожарной безопасности;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принимать меры по оперативному оповещению населения, в том числе с использованием СМИ и сайтов, о классе пожарной опасности в лесах и введении запрета на посещение лесов, а также о снижении класса пожарной опасности в лесах.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4. Рекомендовать Шарангскому районному лесничеству: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организовывать круглосуточное дежурство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погоды;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обеспечить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 закрытие шлагбаумами въездов, ведущих в леса, организацию стационарных и подвижных постов, оборудование мест отдыха и курения;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создать мобильные группы из наиболее подготовленных работников лесничеств, сотрудников отделения полиции (дислокация р.п. Шаранга) МО МВД России «Уренский» для патрулирования наиболее опасных в пожарном отношении лесных участков, обеспечить их средствами связи;</w:t>
      </w:r>
    </w:p>
    <w:p>
      <w:pPr>
        <w:pStyle w:val="ConsPlusTitle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информировать глав администраций поселений через ЕДДС о повышении класса пожарной опасности в лесах по условиям погоды до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,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>.</w:t>
      </w:r>
    </w:p>
    <w:p>
      <w:pPr>
        <w:pStyle w:val="ConsPlusNormal"/>
        <w:widowControl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Рекомендовать арендаторам лесных участков, использующим леса на основании договоров аренды, постоянного (бессрочного) пользования лесными участками, исполняющими обязательства на выполнение работ по охране, защите, воспроизводству лесов, обеспечить: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неснижаемого резерва горюче-смазочных материалов на пожароопасный сезон;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выполнение обязательств по противопожарной профилактике, включающих в себя мероприятия по предупреждению возникновения лесных пожаров, ограничению распространения лесных пожаров и организационно-технические мероприятия;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норм наличия средств пожаротушения в местах использования лесов, содержание средств пожаротушения в период пожароопасного сезона в готовности, обеспечивающей возможность их немедленного использования, а также содержание пожарных сторожей, наблюдателей на пожарных вышках;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принятие мер к ликвидации лесных пожаров, возникших в местах использования лесов, а также оповещение о пожаре районного лесничества и ЕДДС (тел. 2-09-01,2-49-00);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направление работников, пожарной техники, транспортных и других средств на тушение лесных пожаров в порядке, установленном районным планом тушения лесных пожаров;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-проведение инструктажа своих работников, а также участников мероприятий, проводимых ими в лесах, о соблюдении требований пожарной безопасности в лесах, а также о способах тушения лесных пожаров под роспись.</w:t>
      </w:r>
    </w:p>
    <w:p>
      <w:pPr>
        <w:pStyle w:val="ConsPlusTitle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6. ЕДДС организовать предоставление к 9.00 ежедневных докладов в федеральное казенное учреждение «Центр управления в кризисных ситуациях Главного управления МЧС России по Нижегородской области». Информацию о лесных пожарах и о пожарах, возникающих в десятикилометровой зоне от населенных пунктов, направлять немедленно.</w:t>
      </w:r>
    </w:p>
    <w:p>
      <w:pPr>
        <w:pStyle w:val="ConsPlusNormal"/>
        <w:widowControl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>
      <w:pPr>
        <w:pStyle w:val="HTML1"/>
        <w:shd w:fill="FFFFFF" w:val="clear"/>
        <w:tabs>
          <w:tab w:val="clear" w:pos="709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47670" cy="102997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029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000000"/>
                                <w:kern w:val="2"/>
                                <w:szCs w:val="28"/>
                              </w:rPr>
                              <w:t>Баженова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color w:val="000000"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Зав. орг.-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2.1pt;height:81.1pt;mso-wrap-distance-left:9.05pt;mso-wrap-distance-right:9.05pt;mso-wrap-distance-top:0pt;mso-wrap-distance-bottom:0pt;margin-top:642.05pt;mso-position-vertical-relative:text;margin-left:8.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kern w:val="2"/>
                          <w:szCs w:val="28"/>
                        </w:rPr>
                        <w:t>Баженова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Зав. орг.-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6"/>
      <w:headerReference w:type="first" r:id="rId7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4"/>
    <w:qFormat/>
    <w:rPr>
      <w:rFonts w:ascii="Courier New" w:hAnsi="Courier New" w:eastAsia="Times New Roman" w:cs="Courier New"/>
      <w:sz w:val="20"/>
      <w:szCs w:val="20"/>
      <w:lang w:bidi="ar-SA"/>
    </w:rPr>
  </w:style>
  <w:style w:type="character" w:styleId="FontStyle14">
    <w:name w:val="Font Style14"/>
    <w:basedOn w:val="Style14"/>
    <w:qFormat/>
    <w:rPr>
      <w:rFonts w:ascii="Times New Roman" w:hAnsi="Times New Roman" w:cs="Times New Roman"/>
      <w:sz w:val="26"/>
      <w:szCs w:val="2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qFormat/>
    <w:pPr>
      <w:keepNext w:val="true"/>
      <w:numPr>
        <w:ilvl w:val="0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qFormat/>
    <w:pPr>
      <w:keepNext w:val="true"/>
      <w:numPr>
        <w:ilvl w:val="0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4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7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8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0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3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432E88ED18BF4684BD909D745E7E06B7CC71130E330AA4435D44B995B896DBBA2600CB6278F6178L8F4J" TargetMode="External"/><Relationship Id="rId4" Type="http://schemas.openxmlformats.org/officeDocument/2006/relationships/hyperlink" Target="consultantplus://offline/ref=C432E88ED18BF4684BD917DA538BBF6E7ACB493FEF32A216608B10C40C8067ECE52F55F463826378825CC3L4FCJ" TargetMode="External"/><Relationship Id="rId5" Type="http://schemas.openxmlformats.org/officeDocument/2006/relationships/hyperlink" Target="consultantplus://offline/ref=C432E88ED18BF4684BD917DA538BBF6E7ACB493FE03FA9176E8B10C40C8067ECE52F55F463826378825FCAL4FEJ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LibreOffice/6.2.2.2$Windows_X86_64 LibreOffice_project/2b840030fec2aae0fd2658d8d4f9548af4e3518d</Application>
  <Pages>6</Pages>
  <Words>899</Words>
  <Characters>6395</Characters>
  <CharactersWithSpaces>7256</CharactersWithSpaces>
  <Paragraphs>42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2019-04-15T15:05:00Z</dcterms:created>
  <dc:creator>Катышева Е. В.</dc:creator>
  <dc:description/>
  <dc:language>ru-RU</dc:language>
  <cp:lastModifiedBy>Priemnaja</cp:lastModifiedBy>
  <cp:lastPrinted>2019-04-15T15:03:00Z</cp:lastPrinted>
  <dcterms:modified xsi:type="dcterms:W3CDTF">2019-04-15T15:05:00Z</dcterms:modified>
  <cp:revision>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