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21.06.2018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21.06.2018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16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16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9"/>
        <w:jc w:val="center"/>
        <w:rPr>
          <w:sz w:val="28"/>
          <w:szCs w:val="28"/>
        </w:rPr>
      </w:pPr>
      <w:r>
        <w:rPr>
          <w:sz w:val="28"/>
          <w:szCs w:val="28"/>
        </w:rPr>
        <w:t>О порядке ведения перечня видов муниципального</w:t>
      </w:r>
    </w:p>
    <w:p>
      <w:pPr>
        <w:pStyle w:val="Style1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контроля в Шарангском муниципальном районе Нижегородской области и органов местного самоуправления Шарангского муниципального района Нижегородской области, уполномоченных на их осуществление </w:t>
      </w:r>
    </w:p>
    <w:p>
      <w:pPr>
        <w:pStyle w:val="Style29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both"/>
        <w:rPr/>
      </w:pPr>
      <w:r>
        <w:rPr/>
      </w:r>
    </w:p>
    <w:p>
      <w:pPr>
        <w:pStyle w:val="Style29"/>
        <w:spacing w:lineRule="auto" w:line="360"/>
        <w:ind w:firstLine="567"/>
        <w:jc w:val="both"/>
        <w:rPr/>
      </w:pPr>
      <w:r>
        <w:rPr>
          <w:sz w:val="28"/>
          <w:szCs w:val="28"/>
        </w:rPr>
        <w:t>В соответствии с пунктом 1 части 2 статьи 6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Земское собрание Шарангского муниципального района Нижегородской области решило:</w:t>
      </w:r>
    </w:p>
    <w:p>
      <w:pPr>
        <w:pStyle w:val="Normal"/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1. Утвердить прилагаемый </w:t>
      </w:r>
      <w:r>
        <w:fldChar w:fldCharType="begin"/>
      </w:r>
      <w:r>
        <w:rPr>
          <w:rStyle w:val="Style18"/>
          <w:sz w:val="28"/>
          <w:szCs w:val="28"/>
        </w:rPr>
        <w:instrText> HYPERLINK "http://base.garant.ru/47706154/" \l "block_1000"</w:instrText>
      </w:r>
      <w:r>
        <w:rPr>
          <w:rStyle w:val="Style18"/>
          <w:sz w:val="28"/>
          <w:szCs w:val="28"/>
        </w:rPr>
        <w:fldChar w:fldCharType="separate"/>
      </w:r>
      <w:r>
        <w:rPr>
          <w:rStyle w:val="Style18"/>
          <w:sz w:val="28"/>
          <w:szCs w:val="28"/>
        </w:rPr>
        <w:t>Порядок</w:t>
      </w:r>
      <w:r>
        <w:rPr>
          <w:rStyle w:val="Style18"/>
          <w:sz w:val="28"/>
          <w:szCs w:val="28"/>
        </w:rPr>
        <w:fldChar w:fldCharType="end"/>
      </w:r>
      <w:r>
        <w:rPr>
          <w:sz w:val="28"/>
          <w:szCs w:val="28"/>
        </w:rPr>
        <w:t> ведения перечня видов муниципального контроля и органов местного самоуправления, уполномоченных на их осуществление.</w:t>
      </w:r>
    </w:p>
    <w:p>
      <w:pPr>
        <w:pStyle w:val="Normal"/>
        <w:spacing w:lineRule="auto" w:line="360"/>
        <w:jc w:val="both"/>
        <w:rPr/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>2. Определить отдел экономики и имущественных отношений ответственным за ведение перечня видов муниципального контроля и уполномоченным на осуществление муниципального контроля.</w:t>
      </w:r>
    </w:p>
    <w:p>
      <w:pPr>
        <w:pStyle w:val="ConsPlusTitle"/>
        <w:widowControl/>
        <w:spacing w:lineRule="auto" w:line="360"/>
        <w:jc w:val="both"/>
        <w:rPr/>
      </w:pPr>
      <w:r>
        <w:rPr>
          <w:b w:val="false"/>
        </w:rPr>
        <w:t xml:space="preserve">      </w:t>
      </w:r>
      <w:r>
        <w:rPr>
          <w:b w:val="false"/>
        </w:rPr>
        <w:t>3.</w:t>
        <w:tab/>
        <w:t>Опубликовать настоящее постановление на официальном сайте администрации Шарангского муниципального района Нижегородской области.</w:t>
      </w:r>
    </w:p>
    <w:p>
      <w:pPr>
        <w:pStyle w:val="Normal"/>
        <w:spacing w:lineRule="auto" w:line="36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решению Земского собрания 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Шарангского муниципального района 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>от 21.06. 2018 г. №  16</w:t>
      </w:r>
    </w:p>
    <w:p>
      <w:pPr>
        <w:pStyle w:val="Style29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ПОРЯДОК</w:t>
      </w:r>
    </w:p>
    <w:p>
      <w:pPr>
        <w:pStyle w:val="Style29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ведения перечня видов муниципального</w:t>
      </w:r>
    </w:p>
    <w:p>
      <w:pPr>
        <w:pStyle w:val="Style29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контроля и органов местного самоуправления </w:t>
      </w:r>
    </w:p>
    <w:p>
      <w:pPr>
        <w:pStyle w:val="Style2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Нижегородской области, уполномоченных на их осуществление</w:t>
      </w:r>
    </w:p>
    <w:p>
      <w:pPr>
        <w:pStyle w:val="Style29"/>
        <w:jc w:val="center"/>
        <w:rPr/>
      </w:pPr>
      <w:r>
        <w:rPr/>
        <w:t>(далее - Порядок</w:t>
      </w:r>
      <w:r>
        <w:rPr>
          <w:b/>
          <w:bCs/>
        </w:rPr>
        <w:t>)</w:t>
      </w:r>
      <w:r>
        <w:rPr/>
        <w:t xml:space="preserve"> </w:t>
      </w:r>
    </w:p>
    <w:p>
      <w:pPr>
        <w:pStyle w:val="Style29"/>
        <w:ind w:firstLine="360"/>
        <w:jc w:val="both"/>
        <w:rPr/>
      </w:pPr>
      <w:r>
        <w:rPr/>
      </w:r>
    </w:p>
    <w:p>
      <w:pPr>
        <w:pStyle w:val="Style29"/>
        <w:ind w:firstLine="567"/>
        <w:jc w:val="both"/>
        <w:rPr/>
      </w:pPr>
      <w:r>
        <w:rPr>
          <w:sz w:val="28"/>
          <w:szCs w:val="28"/>
        </w:rPr>
        <w:t>1. Настоящий Порядок разработан в соответствии с пунктом 1 части 2 статьи 6 Федерального закона от 26 декабря 2008 года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в целях обеспечения соблюдения прав юридических лиц и индивидуальных предпринимателей при осуществлении муниципального контроля на территории Шарангского муниципального района Нижегородской области, обеспечения доступности и прозрачности сведений об осуществлении видов муниципального контроля органами местного самоуправления Шарангского муниципального района Нижегородской области, уполномоченными на их осуществление.</w:t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2. Перечень видов муниципального контроля и органов местного самоуправления Шарангского муниципального района уполномоченных на их осуществление (далее - перечень), представляет собой систематизированный перечень сведений:</w:t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  </w:t>
      </w:r>
      <w:r>
        <w:rPr>
          <w:rFonts w:cs="Times New Roman" w:ascii="Times New Roman" w:hAnsi="Times New Roman"/>
          <w:sz w:val="28"/>
          <w:szCs w:val="28"/>
        </w:rPr>
        <w:t>а) о видах муниципального контроля, осуществляемого органами местного самоуправления Шарангского муниципального района";</w:t>
        <w:br/>
        <w:t xml:space="preserve">         б) о наименованиях органов местного самоуправления Шарангского муниципального района, уполномоченных на осуществление соответствующих видов муниципального контроля на территории Шарангского муниципального района;</w:t>
        <w:br/>
        <w:t xml:space="preserve">      3. Формирование и ведение перечня осуществляются администрацией Шарангского муниципального района.</w:t>
        <w:br/>
        <w:t xml:space="preserve">      4. Ведение перечня осуществляется по форме согласно приложению к настоящему Порядку.</w:t>
        <w:br/>
        <w:t xml:space="preserve">      5. Основанием для внесения изменений в сведения, содержащиеся в перечне, либо исключения сведений из перечня является принятие нормативного правового акта о прекращении действия или изменении правовых норм, наделяющих органы местного самоуправления Шарангского муниципального района полномочиями по осуществлению муниципального контроля в соответствующих сферах деятельности.</w:t>
        <w:br/>
        <w:t xml:space="preserve">     6. Администрация Шарангского муниципального района не позднее 30 дней со дня принятия нормативных правовых актов, указанных в пункте 6 настоящего Порядка, обеспечивает принятие соответствующего постановления администрации Шарангского муниципального района.</w:t>
        <w:br/>
        <w:t xml:space="preserve">     7. Перечень ведется в бумажном и электронном видах. В электронном виде перечень подлежит размещению на официальном сайте администрации Шарангского муниципального района  в течение пяти дней со дня утверждения.  В случае внесения в перечень изменений его актуальная редакция подлежит размещению на официальном сайте администрации Шарангского муниципального района в течение пяти дней со дня внесения соответствующих изменений.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2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Порядку ведения перечня видов 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муниципального контроля и органов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местного самоуправления </w:t>
      </w:r>
    </w:p>
    <w:p>
      <w:pPr>
        <w:pStyle w:val="Style29"/>
        <w:jc w:val="right"/>
        <w:rPr/>
      </w:pPr>
      <w:r>
        <w:rPr>
          <w:sz w:val="28"/>
          <w:szCs w:val="28"/>
        </w:rPr>
        <w:t xml:space="preserve">Шарангского  муниципального района </w:t>
      </w:r>
    </w:p>
    <w:p>
      <w:pPr>
        <w:pStyle w:val="Style29"/>
        <w:jc w:val="right"/>
        <w:rPr>
          <w:sz w:val="28"/>
          <w:szCs w:val="28"/>
        </w:rPr>
      </w:pPr>
      <w:r>
        <w:rPr>
          <w:sz w:val="28"/>
          <w:szCs w:val="28"/>
        </w:rPr>
        <w:t>Нижегородской области,</w:t>
      </w:r>
    </w:p>
    <w:p>
      <w:pPr>
        <w:pStyle w:val="Style29"/>
        <w:jc w:val="right"/>
        <w:rPr/>
      </w:pPr>
      <w:r>
        <w:rPr>
          <w:sz w:val="28"/>
          <w:szCs w:val="28"/>
        </w:rPr>
        <w:t>уполномоченных на их осуществление</w:t>
      </w:r>
      <w:r>
        <w:rPr/>
        <w:t xml:space="preserve"> </w:t>
      </w:r>
    </w:p>
    <w:p>
      <w:pPr>
        <w:pStyle w:val="Style29"/>
        <w:jc w:val="both"/>
        <w:rPr/>
      </w:pPr>
      <w:r>
        <w:rPr/>
      </w:r>
    </w:p>
    <w:p>
      <w:pPr>
        <w:pStyle w:val="Normal"/>
        <w:spacing w:before="100" w:after="100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Fonts w:cs="Arial" w:ascii="Arial" w:hAnsi="Arial"/>
          <w:color w:val="333333"/>
          <w:sz w:val="18"/>
          <w:szCs w:val="18"/>
        </w:rPr>
      </w:r>
    </w:p>
    <w:p>
      <w:pPr>
        <w:pStyle w:val="Normal"/>
        <w:spacing w:before="100" w:after="100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b/>
          <w:bCs/>
          <w:color w:val="333333"/>
          <w:sz w:val="28"/>
          <w:szCs w:val="28"/>
        </w:rPr>
        <w:t>ПЕРЕЧЕНЬ</w:t>
      </w:r>
    </w:p>
    <w:p>
      <w:pPr>
        <w:pStyle w:val="Normal"/>
        <w:spacing w:before="100" w:after="100"/>
        <w:jc w:val="center"/>
        <w:rPr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видов муниципального контроля и органов местного самоуправления, уполномоченных на их осуществление</w:t>
      </w:r>
    </w:p>
    <w:tbl>
      <w:tblPr>
        <w:tblW w:w="10542" w:type="dxa"/>
        <w:jc w:val="left"/>
        <w:tblInd w:w="-993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top w:w="15" w:type="dxa"/>
          <w:left w:w="5" w:type="dxa"/>
          <w:bottom w:w="15" w:type="dxa"/>
          <w:right w:w="15" w:type="dxa"/>
        </w:tblCellMar>
      </w:tblPr>
      <w:tblGrid>
        <w:gridCol w:w="673"/>
        <w:gridCol w:w="6"/>
        <w:gridCol w:w="2754"/>
        <w:gridCol w:w="3542"/>
        <w:gridCol w:w="3557"/>
        <w:gridCol w:w="10"/>
      </w:tblGrid>
      <w:tr>
        <w:trPr/>
        <w:tc>
          <w:tcPr>
            <w:tcW w:w="6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N</w:t>
              <w:br/>
              <w:t>п/п</w:t>
            </w:r>
          </w:p>
        </w:tc>
        <w:tc>
          <w:tcPr>
            <w:tcW w:w="2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0" w:type="dxa"/>
              <w:left w:w="-10" w:type="dxa"/>
              <w:bottom w:w="0" w:type="dxa"/>
              <w:right w:w="0" w:type="dxa"/>
            </w:tcMar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 xml:space="preserve">Наименование вида муниципального контроля </w:t>
            </w:r>
          </w:p>
        </w:tc>
        <w:tc>
          <w:tcPr>
            <w:tcW w:w="3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0" w:type="dxa"/>
              <w:left w:w="-10" w:type="dxa"/>
              <w:bottom w:w="0" w:type="dxa"/>
              <w:right w:w="0" w:type="dxa"/>
            </w:tcMar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 xml:space="preserve">Орган местного самоуправления, уполномоченный на осуществление муниципального контроля </w:t>
            </w:r>
          </w:p>
        </w:tc>
        <w:tc>
          <w:tcPr>
            <w:tcW w:w="3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0" w:type="dxa"/>
              <w:left w:w="-10" w:type="dxa"/>
              <w:bottom w:w="0" w:type="dxa"/>
              <w:right w:w="0" w:type="dxa"/>
            </w:tcMar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 xml:space="preserve">Реквизиты нормативного правового акта (актов), в соответствии с которым (которыми) осуществляется муниципальный контроль </w:t>
            </w:r>
          </w:p>
        </w:tc>
      </w:tr>
      <w:tr>
        <w:trPr/>
        <w:tc>
          <w:tcPr>
            <w:tcW w:w="679" w:type="dxa"/>
            <w:gridSpan w:val="2"/>
            <w:tcBorders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1</w:t>
            </w:r>
          </w:p>
        </w:tc>
        <w:tc>
          <w:tcPr>
            <w:tcW w:w="2754" w:type="dxa"/>
            <w:tcBorders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0" w:type="dxa"/>
              <w:left w:w="-10" w:type="dxa"/>
              <w:bottom w:w="0" w:type="dxa"/>
              <w:right w:w="0" w:type="dxa"/>
            </w:tcMar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2</w:t>
            </w:r>
          </w:p>
        </w:tc>
        <w:tc>
          <w:tcPr>
            <w:tcW w:w="3542" w:type="dxa"/>
            <w:tcBorders>
              <w:left w:val="single" w:sz="8" w:space="0" w:color="000000"/>
              <w:bottom w:val="single" w:sz="8" w:space="0" w:color="000000"/>
              <w:insideH w:val="single" w:sz="8" w:space="0" w:color="000000"/>
            </w:tcBorders>
            <w:shd w:fill="auto" w:val="clear"/>
            <w:tcMar>
              <w:top w:w="0" w:type="dxa"/>
              <w:left w:w="-10" w:type="dxa"/>
              <w:bottom w:w="0" w:type="dxa"/>
              <w:right w:w="0" w:type="dxa"/>
            </w:tcMar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3</w:t>
            </w:r>
          </w:p>
        </w:tc>
        <w:tc>
          <w:tcPr>
            <w:tcW w:w="356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cBorders>
            <w:shd w:fill="auto" w:val="clear"/>
            <w:tcMar>
              <w:top w:w="0" w:type="dxa"/>
              <w:left w:w="-10" w:type="dxa"/>
              <w:bottom w:w="0" w:type="dxa"/>
              <w:right w:w="0" w:type="dxa"/>
            </w:tcMar>
          </w:tcPr>
          <w:p>
            <w:pPr>
              <w:pStyle w:val="Normal"/>
              <w:spacing w:before="100" w:after="100"/>
              <w:jc w:val="center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4</w:t>
            </w:r>
          </w:p>
        </w:tc>
      </w:tr>
      <w:tr>
        <w:trPr>
          <w:trHeight w:val="255" w:hRule="atLeast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jc w:val="center"/>
              <w:rPr/>
            </w:pPr>
            <w:r>
              <w:rPr/>
              <w:t>1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Муниципальный земельный контроль за использованием земель поселения, городского округа, межселенных территорий</w:t>
            </w:r>
          </w:p>
        </w:tc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Администрация Шарангского муниципального района</w:t>
            </w:r>
          </w:p>
        </w:tc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Ст. 14-16 Федерального закона от 6 октября 2003 года № 131-ФЗ «Об общих принципах организации местного самоуправления в Российской Федерации»</w:t>
            </w:r>
          </w:p>
          <w:p>
            <w:pPr>
              <w:pStyle w:val="Style29"/>
              <w:rPr/>
            </w:pPr>
            <w:r>
              <w:rPr/>
              <w:t>Ст. 72 Земельного кодекса Российской Федерации</w:t>
            </w:r>
          </w:p>
        </w:tc>
      </w:tr>
      <w:tr>
        <w:trPr>
          <w:trHeight w:val="105" w:hRule="atLeast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jc w:val="center"/>
              <w:rPr/>
            </w:pPr>
            <w:r>
              <w:rPr/>
              <w:t>2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Муниципальный контроль за сохранностью автомобильных дорог местного значения</w:t>
            </w:r>
          </w:p>
        </w:tc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Администрация р.п. Шаранга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 xml:space="preserve"> </w:t>
            </w:r>
            <w:r>
              <w:rPr/>
              <w:t>Администрация Большерудкинского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Большеустинского сельсовета Шарангского муниципального  района</w:t>
            </w:r>
          </w:p>
          <w:p>
            <w:pPr>
              <w:pStyle w:val="Style29"/>
              <w:rPr/>
            </w:pPr>
            <w:r>
              <w:rPr/>
              <w:t>Администрация Кушнурского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Роженцовского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Старорудкинского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Черномужского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Щенниковского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</w:r>
          </w:p>
        </w:tc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Ст. 14-16 Федерального закона от 6 октября 2003 года № 131-ФЗ «Об общих принципах организации местного самоуправления в Российской Федерации»</w:t>
            </w:r>
          </w:p>
          <w:p>
            <w:pPr>
              <w:pStyle w:val="Style29"/>
              <w:rPr/>
            </w:pPr>
            <w:r>
              <w:rPr/>
              <w:t>Ст. 13-13.1 Федерального закона от 8 ноября 2007 года № 257-ФЗ «Об автомобильных дорогах и дорожной деятельности в Российской Федерации»</w:t>
            </w:r>
          </w:p>
        </w:tc>
      </w:tr>
      <w:tr>
        <w:trPr>
          <w:trHeight w:val="210" w:hRule="atLeast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jc w:val="center"/>
              <w:rPr/>
            </w:pPr>
            <w:r>
              <w:rPr/>
              <w:t>3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Муниципальный жилищный контроль</w:t>
            </w:r>
          </w:p>
        </w:tc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Администрация р.п. Шаранга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 xml:space="preserve"> </w:t>
            </w:r>
            <w:r>
              <w:rPr/>
              <w:t>Администрация Большерудкинского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Большеустинского сельсовета Шарангского муниципального  района</w:t>
            </w:r>
          </w:p>
          <w:p>
            <w:pPr>
              <w:pStyle w:val="Style29"/>
              <w:rPr/>
            </w:pPr>
            <w:r>
              <w:rPr/>
              <w:t>Администрация Кушнурского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Роженцовского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Старорудкинского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Черномужского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Щенниковского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</w:r>
          </w:p>
        </w:tc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Ст. 14, 16 Федерального закона от 6 октября 2003 года № 131-ФЗ « Об общих принципах организации местного самоуправления в Российской Федерации»</w:t>
            </w:r>
          </w:p>
          <w:p>
            <w:pPr>
              <w:pStyle w:val="Style29"/>
              <w:rPr/>
            </w:pPr>
            <w:r>
              <w:rPr/>
              <w:t>Ст. 14 и ст.20 Жилищного кодекса Российской Федерации</w:t>
            </w:r>
          </w:p>
        </w:tc>
      </w:tr>
      <w:tr>
        <w:trPr>
          <w:trHeight w:val="420" w:hRule="atLeast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jc w:val="center"/>
              <w:rPr/>
            </w:pPr>
            <w:r>
              <w:rPr/>
              <w:t>4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Муниципальный контроль в области торговой деятельности</w:t>
            </w:r>
          </w:p>
        </w:tc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Администрация р.п. Шаранга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 xml:space="preserve"> </w:t>
            </w:r>
            <w:r>
              <w:rPr/>
              <w:t>Администрация Большерудкинского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Большеустинского сельсовета Шарангского муниципального  района</w:t>
            </w:r>
          </w:p>
          <w:p>
            <w:pPr>
              <w:pStyle w:val="Style29"/>
              <w:rPr/>
            </w:pPr>
            <w:r>
              <w:rPr/>
              <w:t>Администрация Кушнурского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Роженцовского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Старорудкинского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Черномужского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Щенниковского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</w:r>
          </w:p>
        </w:tc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Ст. 16 Федерального закона от 28 декабря 2009 года № 381-ФЗ «Об основах государственного регулирования торговой деятельности в Российской Федерации»</w:t>
            </w:r>
          </w:p>
        </w:tc>
      </w:tr>
      <w:tr>
        <w:trPr>
          <w:trHeight w:val="510" w:hRule="atLeast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jc w:val="center"/>
              <w:rPr/>
            </w:pPr>
            <w:r>
              <w:rPr/>
              <w:t>5</w:t>
            </w:r>
          </w:p>
        </w:tc>
        <w:tc>
          <w:tcPr>
            <w:tcW w:w="2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Муниципальный контроль за соблюдением юридическими и физическими лицами, индивидуальными предпринимателями требований, установленных правовыми актами органов местного самоуправления в области в области благоустройства</w:t>
            </w:r>
          </w:p>
        </w:tc>
        <w:tc>
          <w:tcPr>
            <w:tcW w:w="3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Администрация р.п. Шаранга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 xml:space="preserve"> </w:t>
            </w:r>
            <w:r>
              <w:rPr/>
              <w:t>Администрация Большерудкинского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Большеустинского сельсовета Шарангского муниципального  района</w:t>
            </w:r>
          </w:p>
          <w:p>
            <w:pPr>
              <w:pStyle w:val="Style29"/>
              <w:rPr/>
            </w:pPr>
            <w:r>
              <w:rPr/>
              <w:t>Администрация Кушнурского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Роженцовского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Старорудкинского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Черномужского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  <w:t>Администрация Щенниковского сельсовета Шарангского муниципального района</w:t>
            </w:r>
          </w:p>
          <w:p>
            <w:pPr>
              <w:pStyle w:val="Style29"/>
              <w:rPr/>
            </w:pPr>
            <w:r>
              <w:rPr/>
            </w:r>
          </w:p>
        </w:tc>
        <w:tc>
          <w:tcPr>
            <w:tcW w:w="3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top w:w="0" w:type="dxa"/>
              <w:left w:w="103" w:type="dxa"/>
              <w:bottom w:w="0" w:type="dxa"/>
              <w:right w:w="108" w:type="dxa"/>
            </w:tcMar>
          </w:tcPr>
          <w:p>
            <w:pPr>
              <w:pStyle w:val="Style29"/>
              <w:rPr/>
            </w:pPr>
            <w:r>
              <w:rPr/>
              <w:t>На основе ст. 14, 16 Федерального закона от 6 октября 2003 года № 131-ФЗ «Об общих принципах организации местного самоуправления»</w:t>
            </w:r>
          </w:p>
        </w:tc>
      </w:tr>
    </w:tbl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rPr>
      <w:color w:val="000080"/>
      <w:u w:val="single"/>
      <w:lang w:val="zxx" w:eastAsia="zxx" w:bidi="zxx"/>
    </w:rPr>
  </w:style>
  <w:style w:type="paragraph" w:styleId="Style19">
    <w:name w:val="Заголовок"/>
    <w:next w:val="Style20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9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30">
    <w:name w:val="Содержимое врезки"/>
    <w:basedOn w:val="Normal"/>
    <w:qFormat/>
    <w:pPr/>
    <w:rPr/>
  </w:style>
  <w:style w:type="paragraph" w:styleId="Style31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1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145</TotalTime>
  <Application>LibreOffice/6.0.4.2$Windows_x86 LibreOffice_project/9b0d9b32d5dcda91d2f1a96dc04c645c450872bf</Application>
  <Pages>5</Pages>
  <Words>909</Words>
  <Characters>7451</Characters>
  <CharactersWithSpaces>8353</CharactersWithSpaces>
  <Paragraphs>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2018-06-22T10:13:00Z</dcterms:modified>
  <cp:revision>17</cp:revision>
  <dc:subject/>
  <dc:title>ПОСТАНОВЛЕНИЕ</dc:title>
</cp:coreProperties>
</file>