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7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22.02.2018 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22.02.2018 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8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2 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2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ab/>
        <w:t xml:space="preserve">     Об отчете главы администрации о работе администрации</w:t>
      </w:r>
    </w:p>
    <w:p>
      <w:pPr>
        <w:pStyle w:val="ConsPlus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Шарангского муниципального  района за 2017 год</w:t>
      </w:r>
    </w:p>
    <w:p>
      <w:pPr>
        <w:pStyle w:val="ConsPlus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spacing w:lineRule="auto" w:line="276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Заслушав отчет главы администрации Шарангского района о работе администрации за 2017 год, Земское собрание отмечает, что в отчетном году все отрасли экономики и социальной сферы сработали стабильно.</w:t>
      </w:r>
    </w:p>
    <w:p>
      <w:pPr>
        <w:pStyle w:val="Normal"/>
        <w:spacing w:lineRule="auto" w:line="276"/>
        <w:ind w:firstLine="567"/>
        <w:jc w:val="both"/>
        <w:rPr/>
      </w:pPr>
      <w:r>
        <w:rPr>
          <w:sz w:val="28"/>
          <w:szCs w:val="28"/>
        </w:rPr>
        <w:t>За 2017 год доходы консолидированного бюджета Шарангского района составили 519,9 млн. рублей. Уточненный годовой план исполнен по доходам на 101,8%.</w:t>
      </w:r>
    </w:p>
    <w:p>
      <w:pPr>
        <w:pStyle w:val="Normal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  <w:tab/>
        <w:t>Расходы консолидированного бюджета в 2017 году  при уточненном годовом плане 526,4 млн. рублей профинансированы в сумме 520,7 млн. рублей  или 98,9% к плану. Бюджет исполнен с превышением расходов над доходами в сумме 0,9 млн. рублей.</w:t>
      </w:r>
    </w:p>
    <w:p>
      <w:pPr>
        <w:pStyle w:val="Normal"/>
        <w:spacing w:lineRule="auto" w:line="276"/>
        <w:ind w:firstLine="567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>Среднемесячная зарплата по району  за 2017 год составила 19696  рублей, на 1103 рубля или на 6 % выше 2016 года.</w:t>
      </w:r>
    </w:p>
    <w:p>
      <w:pPr>
        <w:pStyle w:val="Normal"/>
        <w:spacing w:lineRule="auto" w:line="27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Стабильно работали в течение года большинство предприятий промышленности и торговли. Состояние развития малого и среднего бизнеса в районе можно обозначить как достаточно устойчивое. Отраслевая структура малого и среднего бизнеса района включает практически все виды экономической деятельности (торговля, строительство, обрабатывающие производства, ЖКХ, транспорт, общественное питание, бытовые услуги, и др.).</w:t>
      </w:r>
    </w:p>
    <w:p>
      <w:pPr>
        <w:pStyle w:val="Normal"/>
        <w:spacing w:lineRule="auto" w:line="276"/>
        <w:ind w:firstLine="567"/>
        <w:jc w:val="both"/>
        <w:rPr/>
      </w:pPr>
      <w:r>
        <w:rPr>
          <w:sz w:val="28"/>
          <w:szCs w:val="28"/>
        </w:rPr>
        <w:t xml:space="preserve">Результаты деятельности сельскохозяйственных предприятий нашего района за 2017 год следующие: посевная площадь под сельскохозяйственными культурами составила 23868 га, площадь посева льна составила 900 га. Самым значимым  событием прошедшего года стало строительство и ввод в эксплуатацию животноводческого комплекса для содержания крупного рогатого скота мясной породы на 1200 голов. Данный проект реализован обществом «Союз» в рамках областной программы «Развитие мясного скотоводства в Нижегородской области. Все сельскохозяйственные предприятия в полной потребности были обеспечены грубыми кормами и зернофуражом. </w:t>
      </w:r>
    </w:p>
    <w:p>
      <w:pPr>
        <w:pStyle w:val="Normal"/>
        <w:spacing w:lineRule="auto" w:line="276"/>
        <w:ind w:firstLine="567"/>
        <w:jc w:val="both"/>
        <w:rPr/>
      </w:pPr>
      <w:r>
        <w:rPr>
          <w:sz w:val="28"/>
          <w:szCs w:val="28"/>
        </w:rPr>
        <w:t>Неплохие результаты достигнуты и в отрасли животноводства. Поголовье крупного рогатого скота увеличилось на 394 головы и составило 3706 голов.</w:t>
      </w:r>
    </w:p>
    <w:p>
      <w:pPr>
        <w:pStyle w:val="Normal"/>
        <w:spacing w:lineRule="auto" w:line="27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pStyle w:val="Normal"/>
        <w:spacing w:lineRule="auto" w:line="276"/>
        <w:ind w:firstLine="567"/>
        <w:jc w:val="both"/>
        <w:rPr/>
      </w:pPr>
      <w:r>
        <w:rPr>
          <w:sz w:val="28"/>
          <w:szCs w:val="28"/>
        </w:rPr>
        <w:t xml:space="preserve">Молочная продуктивность увеличилась  на 226 кг и составила 3855 кг. </w:t>
      </w:r>
    </w:p>
    <w:p>
      <w:pPr>
        <w:pStyle w:val="Normal"/>
        <w:spacing w:lineRule="auto" w:line="276"/>
        <w:ind w:firstLine="567"/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Система общего образования Шарангского муниципального района на 1 января 2017 года (как и в 2016 году) включает в себя 26 образовательных учреждений:</w:t>
      </w:r>
    </w:p>
    <w:p>
      <w:pPr>
        <w:pStyle w:val="Style28"/>
        <w:spacing w:before="0" w:after="0"/>
        <w:ind w:left="567" w:hanging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- 3 средние общеобразовательные школы;</w:t>
      </w:r>
    </w:p>
    <w:p>
      <w:pPr>
        <w:pStyle w:val="Style28"/>
        <w:spacing w:before="0" w:after="0"/>
        <w:ind w:left="567" w:hanging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- 6 основных общеобразовательных школ;</w:t>
      </w:r>
    </w:p>
    <w:p>
      <w:pPr>
        <w:pStyle w:val="Style28"/>
        <w:spacing w:before="0" w:after="0"/>
        <w:ind w:left="567" w:hanging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- 15 дошкольных образовательных учреждений, в том числе 4 семейных детских сада;</w:t>
      </w:r>
    </w:p>
    <w:p>
      <w:pPr>
        <w:pStyle w:val="Style28"/>
        <w:spacing w:before="0" w:after="0"/>
        <w:ind w:left="567" w:hanging="0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МБОУ ЛОЛ Шарангский дом детского творчества;</w:t>
      </w:r>
    </w:p>
    <w:p>
      <w:pPr>
        <w:pStyle w:val="Style28"/>
        <w:spacing w:before="0" w:after="0"/>
        <w:ind w:left="567" w:hanging="0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МБОУ ДОД  Детско-юношеская спортивная школа.</w:t>
      </w:r>
    </w:p>
    <w:p>
      <w:pPr>
        <w:pStyle w:val="Style28"/>
        <w:spacing w:before="0" w:after="0"/>
        <w:ind w:left="567" w:hanging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Муниципалитетом ведется активная плановая работа по приведению материально – технической базы учреждений образования в соотвествие с нормативными требованиями. В 2017 году район принял участие в реализации государственной программы «Доступная среда», с целью повышения уровня доступности объектов образования для детей – инвалидов и детей с ОВЗ.</w:t>
      </w:r>
    </w:p>
    <w:p>
      <w:pPr>
        <w:pStyle w:val="Normal"/>
        <w:spacing w:lineRule="auto" w:line="27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Анализ работы учреждений культуры за прошедший год показывает, что учреждения динамично развиваются по многим направлениям и вводят новые формы и методы работы. Увеличилось количество мероприятий и посетителей. Благодаря проекту «Местный дом культуры», был отремонтирован Роженцовский сельский Дом культуры и приобретено новое оборудование и аппаратура для районного Дома культуры.</w:t>
      </w:r>
    </w:p>
    <w:p>
      <w:pPr>
        <w:pStyle w:val="Style181"/>
        <w:widowControl/>
        <w:tabs>
          <w:tab w:val="left" w:pos="0" w:leader="none"/>
          <w:tab w:val="left" w:pos="10490" w:leader="none"/>
        </w:tabs>
        <w:spacing w:lineRule="auto" w:line="276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Style w:val="FontStyle52"/>
          <w:sz w:val="28"/>
          <w:szCs w:val="28"/>
        </w:rPr>
        <w:t>Физической культуре и спорту Администрацией района уделяется большое внимание и это приносит определенные положительные результаты. Так значительно увеличилось число занимающихся физической культурой и спортом:</w:t>
      </w:r>
      <w:r>
        <w:rPr>
          <w:sz w:val="28"/>
          <w:szCs w:val="28"/>
        </w:rPr>
        <w:t xml:space="preserve"> </w:t>
      </w:r>
    </w:p>
    <w:p>
      <w:pPr>
        <w:pStyle w:val="Style181"/>
        <w:widowControl/>
        <w:tabs>
          <w:tab w:val="left" w:pos="0" w:leader="none"/>
          <w:tab w:val="left" w:pos="10490" w:leader="none"/>
        </w:tabs>
        <w:spacing w:lineRule="auto" w:line="276"/>
        <w:ind w:firstLine="567"/>
        <w:rPr/>
      </w:pPr>
      <w:r>
        <w:rPr>
          <w:rStyle w:val="FontStyle52"/>
          <w:sz w:val="28"/>
          <w:szCs w:val="28"/>
        </w:rPr>
        <w:t>2014 год -  3542 человека, что составляет 29,3% жителей района;</w:t>
      </w:r>
    </w:p>
    <w:p>
      <w:pPr>
        <w:pStyle w:val="Style181"/>
        <w:widowControl/>
        <w:tabs>
          <w:tab w:val="left" w:pos="0" w:leader="none"/>
          <w:tab w:val="left" w:pos="10490" w:leader="none"/>
        </w:tabs>
        <w:spacing w:lineRule="auto" w:line="276"/>
        <w:ind w:firstLine="567"/>
        <w:rPr/>
      </w:pPr>
      <w:r>
        <w:rPr>
          <w:rStyle w:val="FontStyle52"/>
          <w:sz w:val="28"/>
          <w:szCs w:val="28"/>
        </w:rPr>
        <w:t>2015 год -  3974 человека, что составляет 33,3% жителей района.</w:t>
      </w:r>
    </w:p>
    <w:p>
      <w:pPr>
        <w:pStyle w:val="Style181"/>
        <w:widowControl/>
        <w:tabs>
          <w:tab w:val="left" w:pos="0" w:leader="none"/>
          <w:tab w:val="left" w:pos="10490" w:leader="none"/>
        </w:tabs>
        <w:spacing w:lineRule="auto" w:line="276"/>
        <w:ind w:firstLine="567"/>
        <w:rPr/>
      </w:pPr>
      <w:r>
        <w:rPr>
          <w:rStyle w:val="FontStyle52"/>
          <w:sz w:val="28"/>
          <w:szCs w:val="28"/>
        </w:rPr>
        <w:t>2016 год – 4346 человека, что составляет 37% жителей района.</w:t>
      </w:r>
    </w:p>
    <w:p>
      <w:pPr>
        <w:pStyle w:val="Style181"/>
        <w:widowControl/>
        <w:tabs>
          <w:tab w:val="left" w:pos="0" w:leader="none"/>
          <w:tab w:val="left" w:pos="10490" w:leader="none"/>
        </w:tabs>
        <w:spacing w:lineRule="auto" w:line="276"/>
        <w:ind w:firstLine="567"/>
        <w:rPr/>
      </w:pPr>
      <w:r>
        <w:rPr>
          <w:rStyle w:val="FontStyle52"/>
          <w:sz w:val="28"/>
          <w:szCs w:val="28"/>
        </w:rPr>
        <w:t xml:space="preserve">По итогам </w:t>
      </w:r>
      <w:r>
        <w:rPr>
          <w:sz w:val="28"/>
          <w:szCs w:val="28"/>
        </w:rPr>
        <w:t xml:space="preserve">2017 года –  37% жителей района занимаются физической культурой и спортом (4419 человек). </w:t>
      </w:r>
    </w:p>
    <w:p>
      <w:pPr>
        <w:pStyle w:val="Style181"/>
        <w:widowControl/>
        <w:tabs>
          <w:tab w:val="left" w:pos="0" w:leader="none"/>
          <w:tab w:val="left" w:pos="10490" w:leader="none"/>
        </w:tabs>
        <w:spacing w:lineRule="auto" w:line="276"/>
        <w:ind w:firstLine="567"/>
        <w:rPr>
          <w:rStyle w:val="FontStyle52"/>
          <w:sz w:val="28"/>
          <w:szCs w:val="28"/>
        </w:rPr>
      </w:pPr>
      <w:r>
        <w:rPr>
          <w:sz w:val="28"/>
          <w:szCs w:val="28"/>
        </w:rPr>
        <w:t>Детско – юношеский спорт – особая статья в физической деятельности. Более 1200 учащихся занимаются в различных секциях, 387 из них целенаправленно тренируются в детско-юношеской спортивной школе и 528 на ФОКе «Жемчужина».</w:t>
      </w:r>
    </w:p>
    <w:p>
      <w:pPr>
        <w:pStyle w:val="Normal"/>
        <w:spacing w:lineRule="auto" w:line="276"/>
        <w:ind w:firstLine="567"/>
        <w:jc w:val="both"/>
        <w:rPr>
          <w:rStyle w:val="FontStyle14"/>
          <w:b w:val="false"/>
          <w:b w:val="false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Успешное участие района в жилищных программах позволяет улучшать условия жизни различных категорий граждан и является основным приоритетным направлением работы администрации </w:t>
      </w:r>
      <w:r>
        <w:rPr>
          <w:rStyle w:val="FontStyle14"/>
          <w:b w:val="false"/>
          <w:sz w:val="28"/>
          <w:szCs w:val="28"/>
        </w:rPr>
        <w:t xml:space="preserve">в </w:t>
      </w:r>
      <w:r>
        <w:rPr>
          <w:rStyle w:val="FontStyle14"/>
          <w:rFonts w:cs="Times New Roman"/>
          <w:b w:val="false"/>
          <w:sz w:val="28"/>
          <w:szCs w:val="28"/>
        </w:rPr>
        <w:t>жилищном строительстве.</w:t>
      </w:r>
    </w:p>
    <w:p>
      <w:pPr>
        <w:pStyle w:val="Style110"/>
        <w:widowControl/>
        <w:spacing w:lineRule="auto" w:line="276" w:before="67" w:after="0"/>
        <w:ind w:firstLine="567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8"/>
          <w:szCs w:val="28"/>
        </w:rPr>
        <w:t>Важнейшие вопросы, обеспечивающие жизнедеятельность района, решались предприятиями ЖКХ: благоустройство, водоснабжение, капитальный ремонт жилого фонда и теплоснабжение.</w:t>
      </w:r>
      <w:r>
        <w:rPr>
          <w:rFonts w:cs="Times New Roman" w:ascii="Times New Roman" w:hAnsi="Times New Roman"/>
          <w:szCs w:val="28"/>
        </w:rPr>
        <w:t xml:space="preserve"> </w:t>
      </w:r>
    </w:p>
    <w:p>
      <w:pPr>
        <w:pStyle w:val="Normal"/>
        <w:spacing w:lineRule="auto" w:line="27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протяжении всего года устойчивым было электроснабжение района, сохранена маршрутная сеть пассажирского автотранспорта.  </w:t>
      </w:r>
    </w:p>
    <w:p>
      <w:pPr>
        <w:pStyle w:val="Normal"/>
        <w:spacing w:lineRule="auto" w:line="276"/>
        <w:ind w:firstLine="567"/>
        <w:jc w:val="both"/>
        <w:rPr/>
      </w:pPr>
      <w:r>
        <w:rPr>
          <w:sz w:val="28"/>
          <w:szCs w:val="28"/>
        </w:rPr>
        <w:t xml:space="preserve">В 2017 году противопожарной службой района большое внимание уделялось вопросам проведения профилактической работы по предупреждению пожаров, укреплению материально – технической базы и повышения боевой готовности гарнизона пожарной охраны Шарангского района. На основании выше изложенного Земское собрание  решило </w:t>
      </w:r>
      <w:r>
        <w:rPr>
          <w:b/>
          <w:sz w:val="28"/>
          <w:szCs w:val="28"/>
        </w:rPr>
        <w:t>:</w:t>
      </w:r>
    </w:p>
    <w:p>
      <w:pPr>
        <w:pStyle w:val="ConsPlusNormal"/>
        <w:spacing w:lineRule="auto" w:line="276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 Отчет главы администрации о работе  за 2017 год принять к сведению.</w:t>
      </w:r>
    </w:p>
    <w:p>
      <w:pPr>
        <w:pStyle w:val="ConsPlusNormal"/>
        <w:spacing w:lineRule="auto" w:line="276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2.Признать работу администрации района за 2017 год  удовлетворительной.</w:t>
      </w:r>
    </w:p>
    <w:p>
      <w:pPr>
        <w:pStyle w:val="ConsPlusNormal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Опубликовать отчет в средствах массовой информации.</w:t>
      </w:r>
    </w:p>
    <w:p>
      <w:pPr>
        <w:pStyle w:val="ConsPlusNormal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Глава местного самоуправления                                          Н.П.Филимонов</w:t>
      </w:r>
    </w:p>
    <w:p>
      <w:pPr>
        <w:pStyle w:val="ConsPlusNormal"/>
        <w:spacing w:lineRule="auto" w:line="3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1" w:header="567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Georg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4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6" name="Врезка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5"/>
                            <w:rPr>
                              <w:rStyle w:val="Style15"/>
                            </w:rPr>
                          </w:pPr>
                          <w:r>
                            <w:rPr>
                              <w:rStyle w:val="Style15"/>
                            </w:rPr>
                            <w:fldChar w:fldCharType="begin"/>
                          </w:r>
                          <w:r>
                            <w:rPr>
                              <w:rStyle w:val="Style15"/>
                            </w:rPr>
                            <w:instrText> PAGE </w:instrText>
                          </w:r>
                          <w:r>
                            <w:rPr>
                              <w:rStyle w:val="Style15"/>
                            </w:rPr>
                            <w:fldChar w:fldCharType="separate"/>
                          </w:r>
                          <w:r>
                            <w:rPr>
                              <w:rStyle w:val="Style15"/>
                            </w:rPr>
                            <w:t>3</w:t>
                          </w:r>
                          <w:r>
                            <w:rPr>
                              <w:rStyle w:val="Style15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38.4pt;mso-position-horizontal:center;mso-position-horizontal-relative:margin">
              <v:fill opacity="0f"/>
              <v:textbox>
                <w:txbxContent>
                  <w:p>
                    <w:pPr>
                      <w:pStyle w:val="Style25"/>
                      <w:rPr>
                        <w:rStyle w:val="Style15"/>
                      </w:rPr>
                    </w:pPr>
                    <w:r>
                      <w:rPr>
                        <w:rStyle w:val="Style15"/>
                      </w:rPr>
                      <w:fldChar w:fldCharType="begin"/>
                    </w:r>
                    <w:r>
                      <w:rPr>
                        <w:rStyle w:val="Style15"/>
                      </w:rPr>
                      <w:instrText> PAGE </w:instrText>
                    </w:r>
                    <w:r>
                      <w:rPr>
                        <w:rStyle w:val="Style15"/>
                      </w:rPr>
                      <w:fldChar w:fldCharType="separate"/>
                    </w:r>
                    <w:r>
                      <w:rPr>
                        <w:rStyle w:val="Style15"/>
                      </w:rPr>
                      <w:t>3</w:t>
                    </w:r>
                    <w:r>
                      <w:rPr>
                        <w:rStyle w:val="Style15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Без интервала Знак"/>
    <w:basedOn w:val="Style11"/>
    <w:qFormat/>
    <w:rPr>
      <w:sz w:val="24"/>
      <w:szCs w:val="24"/>
      <w:lang w:val="ru-RU" w:bidi="ar-SA"/>
    </w:rPr>
  </w:style>
  <w:style w:type="character" w:styleId="FontStyle14">
    <w:name w:val="Font Style14"/>
    <w:basedOn w:val="Style11"/>
    <w:qFormat/>
    <w:rPr>
      <w:rFonts w:ascii="Georgia" w:hAnsi="Georgia" w:cs="Georgia"/>
      <w:b/>
      <w:bCs/>
      <w:sz w:val="22"/>
      <w:szCs w:val="22"/>
    </w:rPr>
  </w:style>
  <w:style w:type="character" w:styleId="FontStyle52">
    <w:name w:val="Font Style52"/>
    <w:basedOn w:val="Style11"/>
    <w:qFormat/>
    <w:rPr>
      <w:rFonts w:ascii="Times New Roman" w:hAnsi="Times New Roman" w:cs="Times New Roman"/>
      <w:sz w:val="22"/>
      <w:szCs w:val="22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Style29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110">
    <w:name w:val="Style1"/>
    <w:basedOn w:val="Normal"/>
    <w:qFormat/>
    <w:pPr>
      <w:widowControl w:val="false"/>
      <w:autoSpaceDE w:val="false"/>
    </w:pPr>
    <w:rPr>
      <w:rFonts w:ascii="Georgia" w:hAnsi="Georgia" w:cs="Georgia"/>
      <w:sz w:val="24"/>
      <w:szCs w:val="24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Application>LibreOffice/6.0.1.1$Windows_X86_64 LibreOffice_project/60bfb1526849283ce2491346ed2aa51c465abfe6</Application>
  <Pages>3</Pages>
  <Words>643</Words>
  <Characters>4376</Characters>
  <CharactersWithSpaces>5064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2018-02-15T13:37:00Z</dcterms:created>
  <dc:creator>Катышева Е. В.</dc:creator>
  <dc:description/>
  <cp:keywords/>
  <dc:language>ru-RU</dc:language>
  <cp:lastModifiedBy>Bill Gates</cp:lastModifiedBy>
  <cp:lastPrinted>2018-02-15T15:53:00Z</cp:lastPrinted>
  <dcterms:modified xsi:type="dcterms:W3CDTF">2018-02-26T10:15:00Z</dcterms:modified>
  <cp:revision>9</cp:revision>
  <dc:subject/>
  <dc:title>ПОСТАНОВЛЕНИЕ</dc:title>
</cp:coreProperties>
</file>