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.12.2018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auto"/>
        <w:spacing w:lineRule="exact" w:line="322" w:before="0" w:after="300"/>
        <w:ind w:right="4819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 внесении изменений в план мероприятий («дорожную карту») «Изменения в отраслях социальной сферы, направленные на повышение эффективности сферы культуры в Шарангском муниципальном районе», утвержденный распоряжением администрации от 29.03.2013 № 216а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Дополнительным соглашением №200/1 от 07.12.2018 года к Соглашению №200 между Министерством культуры Нижегородской области и администрацией Шарангского муниципального района Нижегородской области об обеспечении в 2018 году целевых индикаторов (показателей) по заработной плате, определённых муниципальным планом мероприятий в сфере культуры в соответствии с «Дорожной картой»: 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мероприятий («дорожную карту») «Изменения в отраслях социальной сферы, направленные на повышение эффективности сферы культуры в Шарангском муниципальном районе», утверждённый распоряжением администрации Шарангского муниципального района Нижегородской области от 29 марта 2013 года № 216а, следующие изменения: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4 «Мероприятия по совершенствованию оплаты труда работников учреждений культуры» подпункт 1 пункта 2 изложить в новой редакции: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динамика минимальных значений средней заработной платы работников муниципальных учреждений культуры:</w:t>
      </w:r>
    </w:p>
    <w:p>
      <w:pPr>
        <w:pStyle w:val="Normal"/>
        <w:spacing w:lineRule="auto" w:line="360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9525" w:type="dxa"/>
        <w:jc w:val="left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10"/>
        <w:gridCol w:w="1605"/>
        <w:gridCol w:w="1590"/>
        <w:gridCol w:w="1590"/>
        <w:gridCol w:w="1605"/>
        <w:gridCol w:w="1725"/>
      </w:tblGrid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60"/>
              <w:ind w:left="0" w:right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60"/>
              <w:ind w:left="0" w:right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60"/>
              <w:ind w:left="0" w:right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60"/>
              <w:ind w:left="0" w:right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60"/>
              <w:ind w:left="0" w:right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60"/>
              <w:ind w:left="0" w:right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6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12221,01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6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19845,65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6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19845,65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6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19845,65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6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24397,77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6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28815,43</w:t>
            </w:r>
          </w:p>
        </w:tc>
      </w:tr>
    </w:tbl>
    <w:p>
      <w:pPr>
        <w:pStyle w:val="Normal"/>
        <w:spacing w:lineRule="auto" w:line="360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>
      <w:pPr>
        <w:pStyle w:val="Normal"/>
        <w:tabs>
          <w:tab w:val="clear" w:pos="720"/>
          <w:tab w:val="left" w:pos="1134" w:leader="none"/>
        </w:tabs>
        <w:suppressAutoHyphens w:val="fals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 Контроль за исполнением настоящего распоряжения возложить на заведующего отделом культуры администрации Шарангского муниципального района Е.Н. Мансурову.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220" w:leader="none"/>
        </w:tabs>
        <w:jc w:val="both"/>
        <w:rPr/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  <w:tab/>
      </w:r>
      <w:r>
        <w:rPr>
          <w:sz w:val="28"/>
          <w:szCs w:val="28"/>
        </w:rPr>
        <w:t>О.Л. Зык</w:t>
      </w:r>
      <w:r>
        <w:rPr>
          <w:sz w:val="28"/>
          <w:szCs w:val="28"/>
        </w:rPr>
        <w:t>ов</w:t>
      </w:r>
    </w:p>
    <w:sectPr>
      <w:headerReference w:type="default" r:id="rId3"/>
      <w:type w:val="nextPage"/>
      <w:pgSz w:w="11906" w:h="16838"/>
      <w:pgMar w:left="1418" w:right="851" w:header="426" w:top="963" w:footer="0" w:bottom="56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8120" cy="236855"/>
              <wp:effectExtent l="0" t="0" r="0" b="0"/>
              <wp:wrapSquare wrapText="bothSides"/>
              <wp:docPr id="2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23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233.1pt;margin-top:0.05pt;width:15.5pt;height:18.5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link w:val="a3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link w:val="Heading1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Style15" w:customStyle="1">
    <w:name w:val="Заголовок"/>
    <w:basedOn w:val="Normal"/>
    <w:next w:val="Style16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b2eda"/>
    <w:pPr/>
    <w:rPr>
      <w:rFonts w:cs="Mangal"/>
    </w:rPr>
  </w:style>
  <w:style w:type="paragraph" w:styleId="Style18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0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 w:customStyle="1">
    <w:name w:val="Head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LibreOffice/6.1.3.2$Windows_X86_64 LibreOffice_project/86daf60bf00efa86ad547e59e09d6bb77c699acb</Application>
  <Pages>2</Pages>
  <Words>194</Words>
  <Characters>1413</Characters>
  <CharactersWithSpaces>1582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2018-12-27T08:48:46Z</cp:lastPrinted>
  <dcterms:modified xsi:type="dcterms:W3CDTF">2018-12-27T08:49:21Z</dcterms:modified>
  <cp:revision>43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