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.11.2018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604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1134" w:right="1134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комиссии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Шарангского муниципального района Нижегородской области от 16.03.2016г. № 136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письмом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 от 17.10.2018г. № 001-13133/2018, а также в связи с изменениями в структуре администрации Шарангского муниципального района,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Шарангского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Шарангского муниципального района Нижегородской области от 16.03.2016г. № 136 (далее – Комиссия) 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Алексееву Нину Вячеславовну;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Кузнецова Александра Евгеньевича - консультанта отдела по профилактике коррупционных и иных правонарушений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 (по согласованию);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слова «заведующая районным отделом образования администрации района» заменить словами «начальник управления образования и молодежной политики администрации Шарангского муниципального района».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А.В. 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7935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LibreOffice/6.1.2.1$Windows_x86 LibreOffice_project/65905a128db06ba48db947242809d14d3f9a93fe</Application>
  <Pages>2</Pages>
  <Words>221</Words>
  <Characters>1691</Characters>
  <CharactersWithSpaces>1900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2018-11-19T15:18:52Z</cp:lastPrinted>
  <dcterms:modified xsi:type="dcterms:W3CDTF">2018-11-19T15:19:25Z</dcterms:modified>
  <cp:revision>54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