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>
          <w:lang w:val="ru-RU" w:eastAsia="ru-RU"/>
        </w:rPr>
        <w:drawing>
          <wp:inline distT="0" distB="0" distL="0" distR="0">
            <wp:extent cx="631190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0" t="-302" r="-290" b="-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>от 30.10.2018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544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Шарангского района от 20.12.2010 № 144 «</w:t>
      </w:r>
      <w:r>
        <w:rPr>
          <w:b/>
          <w:bCs/>
          <w:color w:val="000000"/>
          <w:sz w:val="28"/>
          <w:szCs w:val="28"/>
        </w:rPr>
        <w:t>О межведомственной районной комиссии по борьбе с хищениями лесных ресурсов и незаконным оборотом лесных материалов</w:t>
      </w:r>
      <w:r>
        <w:rPr>
          <w:b/>
          <w:bCs/>
          <w:sz w:val="28"/>
          <w:szCs w:val="28"/>
        </w:rPr>
        <w:t>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В связи с кадровыми изменениями, в соответствии с Уставом Шарангского муниципального района 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</w:t>
      </w:r>
      <w:r>
        <w:rPr>
          <w:bCs/>
          <w:sz w:val="28"/>
          <w:szCs w:val="28"/>
        </w:rPr>
        <w:t>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 Внести в постановление администрации Шарангского района от 20.12.2010 № 144 «</w:t>
      </w:r>
      <w:r>
        <w:rPr>
          <w:color w:val="000000"/>
          <w:sz w:val="28"/>
          <w:szCs w:val="28"/>
        </w:rPr>
        <w:t>О межведомственной районной комиссии по борьбе с хищениями лесных ресурсов и незаконным оборотом лесных материалов</w:t>
      </w:r>
      <w:r>
        <w:rPr>
          <w:sz w:val="28"/>
          <w:szCs w:val="28"/>
        </w:rPr>
        <w:t>» (далее - Постановление) следующие изменения: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1.1. Утвердить </w:t>
      </w:r>
      <w:r>
        <w:rPr>
          <w:color w:val="000000"/>
          <w:sz w:val="28"/>
          <w:szCs w:val="28"/>
        </w:rPr>
        <w:t>межведомственную районную комиссию по борьбе с хищениями лесных ресурсов и незаконным оборотом лесных материалов</w:t>
      </w:r>
      <w:r>
        <w:rPr>
          <w:sz w:val="28"/>
          <w:szCs w:val="28"/>
        </w:rPr>
        <w:t xml:space="preserve"> в новом составе, изложив Приложение 1 к Постановлению в прилагаемой редакции.</w:t>
      </w:r>
    </w:p>
    <w:p>
      <w:pPr>
        <w:pStyle w:val="Style18"/>
        <w:ind w:firstLine="709"/>
        <w:jc w:val="both"/>
        <w:rPr>
          <w:rFonts w:ascii="Times New Roman" w:hAnsi="Times New Roman" w:eastAsia="Calibri" w:cs="Times New Roman"/>
          <w:b w:val="false"/>
          <w:b w:val="false"/>
          <w:szCs w:val="28"/>
        </w:rPr>
      </w:pPr>
      <w:r>
        <w:rPr>
          <w:rFonts w:eastAsia="Calibri" w:cs="Times New Roman" w:ascii="Times New Roman" w:hAnsi="Times New Roman"/>
          <w:b w:val="false"/>
          <w:szCs w:val="28"/>
        </w:rPr>
        <w:t>2. Контроль за исполнением настоящего постановления возложить на заместителя главы администрации, заведующую отделом экономики и имущественных отношений, председателя комиссии Медведеву А.В.</w:t>
      </w:r>
    </w:p>
    <w:p>
      <w:pPr>
        <w:pStyle w:val="HTML1"/>
        <w:shd w:fill="FFFFFF" w:val="clear"/>
        <w:tabs>
          <w:tab w:val="clear" w:pos="720"/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1"/>
        <w:shd w:fill="FFFFFF" w:val="clea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1"/>
        <w:shd w:fill="FFFFFF" w:val="clea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79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О.Л.Зыков</w:t>
      </w:r>
      <w:r>
        <w:br w:type="page"/>
      </w:r>
    </w:p>
    <w:p>
      <w:pPr>
        <w:pStyle w:val="Normal"/>
        <w:tabs>
          <w:tab w:val="clear" w:pos="720"/>
          <w:tab w:val="left" w:pos="79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5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 w:val="24"/>
          <w:szCs w:val="28"/>
        </w:rPr>
      </w:pPr>
      <w:r>
        <w:rPr>
          <w:b w:val="false"/>
          <w:bCs/>
          <w:color w:val="000000"/>
          <w:kern w:val="2"/>
          <w:sz w:val="24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color w:val="000000"/>
        </w:rPr>
      </w:pPr>
      <w:r>
        <w:rPr>
          <w:b w:val="false"/>
          <w:bCs/>
          <w:color w:val="000000"/>
          <w:kern w:val="2"/>
          <w:szCs w:val="28"/>
        </w:rPr>
        <w:t>Ефремова Е.А.</w:t>
      </w:r>
    </w:p>
    <w:p>
      <w:pPr>
        <w:pStyle w:val="14"/>
        <w:jc w:val="left"/>
        <w:rPr>
          <w:color w:val="000000"/>
        </w:rPr>
      </w:pPr>
      <w:r>
        <w:rPr>
          <w:b w:val="false"/>
          <w:bCs/>
          <w:color w:val="000000"/>
          <w:kern w:val="2"/>
          <w:szCs w:val="28"/>
        </w:rPr>
        <w:t>2-17-07</w:t>
      </w:r>
    </w:p>
    <w:p>
      <w:pPr>
        <w:pStyle w:val="Normal"/>
        <w:rPr>
          <w:color w:val="000000"/>
        </w:rPr>
      </w:pPr>
      <w:r>
        <w:rPr>
          <w:color w:val="000000"/>
          <w:sz w:val="28"/>
          <w:szCs w:val="28"/>
        </w:rPr>
        <w:t>Зав. орг.- прав. отделом</w:t>
      </w:r>
    </w:p>
    <w:p>
      <w:pPr>
        <w:pStyle w:val="Normal"/>
        <w:ind w:left="453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>
      <w:pPr>
        <w:pStyle w:val="Normal"/>
        <w:ind w:left="453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>
      <w:pPr>
        <w:pStyle w:val="Normal"/>
        <w:ind w:left="4536" w:hanging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Шарангского муниципального района </w:t>
      </w:r>
    </w:p>
    <w:p>
      <w:pPr>
        <w:pStyle w:val="Normal"/>
        <w:ind w:left="4536" w:hanging="0"/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 30.10.2018 г. № 544</w:t>
      </w:r>
    </w:p>
    <w:p>
      <w:pPr>
        <w:pStyle w:val="Normal"/>
        <w:ind w:left="4536" w:hanging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«Приложение 1 </w:t>
      </w:r>
    </w:p>
    <w:p>
      <w:pPr>
        <w:pStyle w:val="Normal"/>
        <w:ind w:left="4536" w:hanging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постановлению администрации </w:t>
      </w:r>
    </w:p>
    <w:p>
      <w:pPr>
        <w:pStyle w:val="Normal"/>
        <w:ind w:left="4536" w:hanging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Шарангского района</w:t>
      </w:r>
    </w:p>
    <w:p>
      <w:pPr>
        <w:pStyle w:val="Normal"/>
        <w:ind w:left="4536" w:hanging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20.12.2010 № 144</w:t>
      </w:r>
    </w:p>
    <w:p>
      <w:pPr>
        <w:pStyle w:val="Normal"/>
        <w:ind w:left="4536" w:hanging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17"/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СОСТАВ</w:t>
      </w:r>
    </w:p>
    <w:p>
      <w:pPr>
        <w:pStyle w:val="Style17"/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межведомственной районной комиссии по борьбе с хищениями</w:t>
      </w:r>
    </w:p>
    <w:p>
      <w:pPr>
        <w:pStyle w:val="Style17"/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лесных ресурсов и незаконным оборотом лесных материалов</w:t>
      </w:r>
    </w:p>
    <w:p>
      <w:pPr>
        <w:pStyle w:val="Style17"/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tbl>
      <w:tblPr>
        <w:tblW w:w="964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6"/>
        <w:gridCol w:w="296"/>
        <w:gridCol w:w="6003"/>
      </w:tblGrid>
      <w:tr>
        <w:trPr/>
        <w:tc>
          <w:tcPr>
            <w:tcW w:w="3346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003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346" w:type="dxa"/>
            <w:tcBorders/>
            <w:shd w:fill="auto" w:val="clear"/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Медведева Алла Вячеславовна </w:t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3" w:type="dxa"/>
            <w:tcBorders/>
            <w:shd w:fill="auto" w:val="clear"/>
            <w:vAlign w:val="center"/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администрации, заведующая отделом экономики и имущественных отношений, председатель комиссии </w:t>
            </w:r>
          </w:p>
        </w:tc>
      </w:tr>
      <w:tr>
        <w:trPr/>
        <w:tc>
          <w:tcPr>
            <w:tcW w:w="3346" w:type="dxa"/>
            <w:tcBorders/>
            <w:shd w:fill="auto" w:val="clear"/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Елена Алексеевна</w:t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3" w:type="dxa"/>
            <w:tcBorders/>
            <w:shd w:fill="auto" w:val="clear"/>
            <w:vAlign w:val="center"/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экономики и имущественных отношений администрации, секретарь комиссии</w:t>
            </w:r>
          </w:p>
        </w:tc>
      </w:tr>
    </w:tbl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9645" w:type="dxa"/>
        <w:jc w:val="left"/>
        <w:tblInd w:w="-105" w:type="dxa"/>
        <w:tblBorders/>
        <w:tblCellMar>
          <w:top w:w="0" w:type="dxa"/>
          <w:left w:w="105" w:type="dxa"/>
          <w:bottom w:w="0" w:type="dxa"/>
          <w:right w:w="105" w:type="dxa"/>
        </w:tblCellMar>
      </w:tblPr>
      <w:tblGrid>
        <w:gridCol w:w="3388"/>
        <w:gridCol w:w="290"/>
        <w:gridCol w:w="5967"/>
      </w:tblGrid>
      <w:tr>
        <w:trPr/>
        <w:tc>
          <w:tcPr>
            <w:tcW w:w="3388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Куимов Александр Константинович</w:t>
            </w:r>
          </w:p>
        </w:tc>
        <w:tc>
          <w:tcPr>
            <w:tcW w:w="29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67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Шарангского районного лесничества (по согласованию)</w:t>
            </w:r>
          </w:p>
        </w:tc>
      </w:tr>
      <w:tr>
        <w:trPr/>
        <w:tc>
          <w:tcPr>
            <w:tcW w:w="3388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Мосунов Юрий Юрьевич</w:t>
            </w:r>
          </w:p>
        </w:tc>
        <w:tc>
          <w:tcPr>
            <w:tcW w:w="29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67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ОП (дислокация пгт Шаранга)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МВД России «Уренский»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согласованию);</w:t>
            </w:r>
          </w:p>
        </w:tc>
      </w:tr>
      <w:tr>
        <w:trPr/>
        <w:tc>
          <w:tcPr>
            <w:tcW w:w="3388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Долгополов Андрей Васильевич</w:t>
            </w:r>
          </w:p>
        </w:tc>
        <w:tc>
          <w:tcPr>
            <w:tcW w:w="29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67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Шарангского районного лесничества (по согласованию)</w:t>
            </w:r>
          </w:p>
        </w:tc>
      </w:tr>
      <w:tr>
        <w:trPr/>
        <w:tc>
          <w:tcPr>
            <w:tcW w:w="3388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Саркисова Татьяна Владимировна</w:t>
            </w:r>
          </w:p>
        </w:tc>
        <w:tc>
          <w:tcPr>
            <w:tcW w:w="29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67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заведующая организационно-правовым отделом администрации</w:t>
            </w:r>
          </w:p>
        </w:tc>
      </w:tr>
      <w:tr>
        <w:trPr/>
        <w:tc>
          <w:tcPr>
            <w:tcW w:w="3388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Ермолин Сергей Иванович</w:t>
            </w:r>
          </w:p>
        </w:tc>
        <w:tc>
          <w:tcPr>
            <w:tcW w:w="29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67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предприниматель (по согласованию)</w:t>
            </w:r>
          </w:p>
        </w:tc>
      </w:tr>
    </w:tbl>
    <w:p>
      <w:pPr>
        <w:pStyle w:val="Normal"/>
        <w:suppressAutoHyphens w:val="false"/>
        <w:ind w:left="8640"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»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79375</wp:posOffset>
                </wp:positionH>
                <wp:positionV relativeFrom="paragraph">
                  <wp:posOffset>8125460</wp:posOffset>
                </wp:positionV>
                <wp:extent cx="2948940" cy="1031240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0312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2.2pt;height:81.2pt;mso-wrap-distance-left:9.05pt;mso-wrap-distance-right:9.05pt;mso-wrap-distance-top:0pt;mso-wrap-distance-bottom:0pt;margin-top:639.8pt;mso-position-vertical-relative:text;margin-left:6.2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00"/>
    <w:family w:val="roman"/>
    <w:pitch w:val="default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5">
    <w:name w:val="Номер страницы"/>
    <w:basedOn w:val="Style14"/>
    <w:rPr/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4"/>
    <w:qFormat/>
    <w:rPr>
      <w:rFonts w:ascii="Times New Roman" w:hAnsi="Times New Roman" w:cs="Times New Roman"/>
      <w:sz w:val="26"/>
      <w:szCs w:val="26"/>
    </w:rPr>
  </w:style>
  <w:style w:type="character" w:styleId="HTML">
    <w:name w:val="Стандартный HTML Знак"/>
    <w:basedOn w:val="Style14"/>
    <w:qFormat/>
    <w:rPr>
      <w:rFonts w:ascii="Courier New" w:hAnsi="Courier New" w:eastAsia="Times New Roman" w:cs="Courier New"/>
      <w:sz w:val="20"/>
      <w:szCs w:val="20"/>
      <w:lang w:bidi="ar-SA"/>
    </w:rPr>
  </w:style>
  <w:style w:type="character" w:styleId="ListLabel48">
    <w:name w:val="ListLabel 48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Heading1">
    <w:name w:val="Heading 1"/>
    <w:basedOn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Heading2">
    <w:name w:val="Heading 2"/>
    <w:basedOn w:val="Normal"/>
    <w:qFormat/>
    <w:pPr>
      <w:keepNext w:val="true"/>
      <w:numPr>
        <w:ilvl w:val="0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qFormat/>
    <w:pPr>
      <w:keepNext w:val="true"/>
      <w:numPr>
        <w:ilvl w:val="0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Index Heading"/>
    <w:basedOn w:val="Normal"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Header">
    <w:name w:val="Header"/>
    <w:basedOn w:val="Normal"/>
    <w:qFormat/>
    <w:pPr/>
    <w:rPr/>
  </w:style>
  <w:style w:type="paragraph" w:styleId="21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4">
    <w:name w:val="Текст"/>
    <w:basedOn w:val="Normal"/>
    <w:qFormat/>
    <w:pPr/>
    <w:rPr>
      <w:rFonts w:ascii="Courier New" w:hAnsi="Courier New" w:cs="Courier New"/>
    </w:rPr>
  </w:style>
  <w:style w:type="paragraph" w:styleId="31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Footer">
    <w:name w:val="Footer"/>
    <w:basedOn w:val="Normal"/>
    <w:qFormat/>
    <w:pPr/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Style26">
    <w:name w:val="Без интервала"/>
    <w:qFormat/>
    <w:pPr>
      <w:widowControl/>
      <w:suppressAutoHyphens w:val="true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ind w:firstLine="720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7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9">
    <w:name w:val="Содержимое врезки"/>
    <w:basedOn w:val="Normal"/>
    <w:qFormat/>
    <w:pPr/>
    <w:rPr/>
  </w:style>
  <w:style w:type="paragraph" w:styleId="Western">
    <w:name w:val="western"/>
    <w:basedOn w:val="Normal"/>
    <w:qFormat/>
    <w:pPr>
      <w:spacing w:before="100" w:after="100"/>
    </w:pPr>
    <w:rPr>
      <w:sz w:val="24"/>
      <w:szCs w:val="24"/>
    </w:rPr>
  </w:style>
  <w:style w:type="paragraph" w:styleId="HTML1">
    <w:name w:val="Стандартный HTML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Formattext">
    <w:name w:val="formattext"/>
    <w:basedOn w:val="Normal"/>
    <w:qFormat/>
    <w:pPr>
      <w:suppressAutoHyphens w:val="false"/>
      <w:spacing w:before="280" w:after="280"/>
    </w:pPr>
    <w:rPr>
      <w:color w:val="000000"/>
      <w:sz w:val="24"/>
      <w:szCs w:val="24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3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LibreOffice/6.1.2.1$Windows_x86 LibreOffice_project/65905a128db06ba48db947242809d14d3f9a93fe</Application>
  <Pages>3</Pages>
  <Words>278</Words>
  <Characters>1976</Characters>
  <CharactersWithSpaces>2211</CharactersWithSpaces>
  <Paragraphs>52</Paragraphs>
  <Company>Microsoft_x0000__x0000_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2018-11-01T15:34:00Z</dcterms:created>
  <dc:creator>Катышева Е. В.</dc:creator>
  <dc:description/>
  <cp:keywords/>
  <dc:language>ru-RU</dc:language>
  <cp:lastModifiedBy>Priemnaja</cp:lastModifiedBy>
  <cp:lastPrinted>2018-11-01T15:35:00Z</cp:lastPrinted>
  <dcterms:modified xsi:type="dcterms:W3CDTF">2018-11-01T15:35:00Z</dcterms:modified>
  <cp:revision>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Microsoft_x0000__x0000_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