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lang w:val="ru-RU" w:eastAsia="ru-RU"/>
        </w:rPr>
        <w:drawing>
          <wp:inline distT="0" distB="0" distL="0" distR="0">
            <wp:extent cx="63119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0" t="-302" r="-290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Heading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Heading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Heading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>от 26.10.2018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539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Календарного плана официальных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физкультурных мероприятий и спортивных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мероприятий, проводимых на территории Шарангского</w:t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 2019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для развития на территории Шарангского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администрация Шарангского муниципального района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suppressAutoHyphens w:val="false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Календарный план официальных физкультурных мероприятий и спортивных мероприятий, проводимых на территории Шарангского муниципального района в 2019 году (далее – План).</w:t>
      </w:r>
    </w:p>
    <w:p>
      <w:pPr>
        <w:pStyle w:val="Normal"/>
        <w:suppressAutoHyphens w:val="false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2.Сектору по физической культуре и спорту администрации Шарангского муниципального района (А.П.Домрачев) обеспечить выполнение Плана.</w:t>
      </w:r>
    </w:p>
    <w:p>
      <w:pPr>
        <w:pStyle w:val="Style20"/>
        <w:ind w:firstLine="720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3.Контроль за исполнением настоящего постановления возложить на заместителя главы администрации Шарангского муниципального района Д.О.Ожиганова.</w:t>
      </w:r>
    </w:p>
    <w:p>
      <w:pPr>
        <w:pStyle w:val="HTML1"/>
        <w:shd w:fill="FFFFFF" w:val="clear"/>
        <w:tabs>
          <w:tab w:val="clear" w:pos="720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79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tabs>
          <w:tab w:val="clear" w:pos="720"/>
          <w:tab w:val="left" w:pos="79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</w:r>
    </w:p>
    <w:p>
      <w:pPr>
        <w:pStyle w:val="14"/>
        <w:jc w:val="left"/>
        <w:rPr>
          <w:color w:val="000000"/>
        </w:rPr>
      </w:pPr>
      <w:r>
        <w:rPr>
          <w:b w:val="false"/>
          <w:bCs/>
          <w:color w:val="000000"/>
          <w:kern w:val="2"/>
          <w:szCs w:val="28"/>
        </w:rPr>
        <w:t>Домрачев А.П.</w:t>
      </w:r>
    </w:p>
    <w:p>
      <w:pPr>
        <w:pStyle w:val="14"/>
        <w:jc w:val="left"/>
        <w:rPr>
          <w:color w:val="000000"/>
        </w:rPr>
      </w:pPr>
      <w:r>
        <w:rPr>
          <w:b w:val="false"/>
          <w:bCs/>
          <w:color w:val="000000"/>
          <w:kern w:val="2"/>
          <w:szCs w:val="28"/>
        </w:rPr>
        <w:t>2-16-87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1" w:header="930" w:top="986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uppressAutoHyphens w:val="false"/>
        <w:rPr/>
      </w:pPr>
      <w:r>
        <w:rPr>
          <w:color w:val="000000"/>
          <w:sz w:val="28"/>
          <w:szCs w:val="28"/>
        </w:rPr>
        <w:t>Зав. орг.- прав. отделом</w:t>
      </w:r>
      <w:r>
        <w:rPr/>
        <w:t xml:space="preserve"> </w:t>
      </w:r>
    </w:p>
    <w:p>
      <w:pPr>
        <w:pStyle w:val="Normal"/>
        <w:ind w:left="800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ind w:left="800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ind w:left="800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ind w:left="800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26.10.2018 года № 539</w:t>
      </w:r>
    </w:p>
    <w:p>
      <w:pPr>
        <w:pStyle w:val="Normal"/>
        <w:ind w:left="80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официальных физкультурных мероприятий и спортивных мероприятий,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проводимых на территории Шарангского муниципального района в 2019 году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28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0"/>
        <w:gridCol w:w="6"/>
        <w:gridCol w:w="19"/>
        <w:gridCol w:w="3786"/>
        <w:gridCol w:w="50"/>
        <w:gridCol w:w="1558"/>
        <w:gridCol w:w="7"/>
        <w:gridCol w:w="1799"/>
        <w:gridCol w:w="12"/>
        <w:gridCol w:w="2571"/>
        <w:gridCol w:w="1984"/>
        <w:gridCol w:w="2704"/>
      </w:tblGrid>
      <w:tr>
        <w:trPr>
          <w:trHeight w:val="74" w:hRule="atLeast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Наименований соревнований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trHeight w:val="2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>
        <w:trPr>
          <w:trHeight w:val="197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БАСКЕТБОЛ</w:t>
            </w:r>
          </w:p>
        </w:tc>
      </w:tr>
      <w:tr>
        <w:trPr>
          <w:trHeight w:val="304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Шарангского района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720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баскетбольная лига «КЭС-Баскет» среди школ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72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школ района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304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Шарангского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300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БОКС</w:t>
            </w:r>
          </w:p>
        </w:tc>
      </w:tr>
      <w:tr>
        <w:trPr>
          <w:trHeight w:val="390" w:hRule="atLeast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«Открытый ринг»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Нижегородской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Иконников Е.В.</w:t>
            </w:r>
          </w:p>
        </w:tc>
      </w:tr>
      <w:tr>
        <w:trPr>
          <w:trHeight w:val="384" w:hRule="atLeast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Турнир посвященный Дню физкультурника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городов Поволжья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Иконников Е.В.</w:t>
            </w:r>
          </w:p>
        </w:tc>
      </w:tr>
      <w:tr>
        <w:trPr>
          <w:trHeight w:val="210" w:hRule="atLeast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Турнир посвященный Дню открытия ФОКа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Нижегородской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Иконников Е.В.</w:t>
            </w:r>
          </w:p>
        </w:tc>
      </w:tr>
      <w:tr>
        <w:trPr>
          <w:trHeight w:val="510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ВОЛЕЙБОЛ</w:t>
            </w:r>
          </w:p>
        </w:tc>
      </w:tr>
      <w:tr>
        <w:trPr>
          <w:trHeight w:val="196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Шарангского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февраль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570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Нижегородской области среди женских команд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апрель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области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А.П.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02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Нижегородской области среди женских команд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май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области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А.П.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5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северных районов Нижегородской области среди мужских команд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март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156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Межрайонный турнир среди мужских команд посвященный Дню народного единства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174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Шарангского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174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памяти героев - земляков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109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школ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572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ДЗЮДО</w:t>
            </w:r>
          </w:p>
        </w:tc>
      </w:tr>
      <w:tr>
        <w:trPr>
          <w:trHeight w:val="393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турнир имени Н.Л.Медведева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Поволжья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 А.С.</w:t>
            </w:r>
          </w:p>
        </w:tc>
      </w:tr>
      <w:tr>
        <w:trPr>
          <w:trHeight w:val="31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посвященный Дню пограничника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Поволжья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 А.С.</w:t>
            </w:r>
          </w:p>
        </w:tc>
      </w:tr>
      <w:tr>
        <w:trPr>
          <w:trHeight w:val="305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Шарангского района среди мальчиков и девочек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Поволжья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 А.С.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СУМО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401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среди спортсменов до10, 13, 15 лет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 А.С.</w:t>
            </w:r>
          </w:p>
        </w:tc>
      </w:tr>
      <w:tr>
        <w:trPr>
          <w:trHeight w:val="572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ЛЕГКАЯ АТЛЕТИКА</w:t>
            </w:r>
          </w:p>
        </w:tc>
      </w:tr>
      <w:tr>
        <w:trPr>
          <w:trHeight w:val="381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школ района «Шиповка юных»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735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пробег посвященный Дню Победы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КФК,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 района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54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Всероссийский легкоатлетический пробег в р.п.Шаранга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572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ЛЫЖНЫЕ ГОНКИ</w:t>
            </w:r>
          </w:p>
        </w:tc>
      </w:tr>
      <w:tr>
        <w:trPr>
          <w:trHeight w:val="254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школ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135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«Щенниковская лыжня»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КФК,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126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им. Н.Д.Лузина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КФК,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Гонка сильнейших лыжников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КФК,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В.В.</w:t>
            </w:r>
          </w:p>
        </w:tc>
      </w:tr>
      <w:tr>
        <w:trPr>
          <w:trHeight w:val="530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ПАУЭРЛИФТИНГ</w:t>
            </w:r>
          </w:p>
        </w:tc>
      </w:tr>
      <w:tr>
        <w:trPr>
          <w:trHeight w:val="296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Шарангского района среди юношей и девушек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Доброходов А.В.</w:t>
            </w:r>
          </w:p>
        </w:tc>
      </w:tr>
      <w:tr>
        <w:trPr>
          <w:trHeight w:val="297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Шарангского района по становой тяге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Доброходов А.В.</w:t>
            </w:r>
          </w:p>
        </w:tc>
      </w:tr>
      <w:tr>
        <w:trPr>
          <w:trHeight w:val="233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ФОК «Жемчужина»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Доброходов А.В.</w:t>
            </w:r>
          </w:p>
        </w:tc>
      </w:tr>
      <w:tr>
        <w:trPr>
          <w:trHeight w:val="191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ФОК «Жемчужина» района по жиму штанги лежа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Доброходов А.В.</w:t>
            </w:r>
          </w:p>
        </w:tc>
      </w:tr>
      <w:tr>
        <w:trPr>
          <w:trHeight w:val="439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ПЛАВАНИЕ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233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школ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296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среди трудовых коллективов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276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МИНИ-ФУТБОЛ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381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Зональный этап первенства области среди юношей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Р.В., Исмайлов О.В.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Шарангского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северных районов Нижегородской области среди мужских команд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Нижегородской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«Мини-футбол в школу»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Р.В., Исмайлов О.В.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ФОК «Жемчужина»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2001-2002 г.р.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И.М.</w:t>
            </w:r>
          </w:p>
        </w:tc>
      </w:tr>
      <w:tr>
        <w:trPr>
          <w:trHeight w:val="309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Открытый Кубок ФОК «Жемчужина»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Юноши 2008-2009 г.р.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Мирошниченко И.М.</w:t>
            </w:r>
          </w:p>
        </w:tc>
      </w:tr>
      <w:tr>
        <w:trPr>
          <w:trHeight w:val="780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НАСТОЛЬНЫЙ ТЕННИС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Шарангского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р.п.Шаранга ФОК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школ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посвященный дню народного единства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 северных районов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Н.А.</w:t>
            </w:r>
          </w:p>
        </w:tc>
      </w:tr>
      <w:tr>
        <w:trPr>
          <w:trHeight w:val="678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ФУТБОЛ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Шарангского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северных районов Нижегородской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открытия летнего сезона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северных районов среди юношей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Р.В., Исмайлов О.В.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Шарангского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закрытия летнего спортивного сезона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Исмайлов О.В.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этап соревнований «Кожаный мяч»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Р.В., Исмайлов О.В.</w:t>
            </w:r>
          </w:p>
        </w:tc>
      </w:tr>
      <w:tr>
        <w:trPr>
          <w:trHeight w:val="678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ХОККЕЙ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Шарангского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 А.С.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северных районов Нижегородской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Муравьев А.С.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«Золотая шайба»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Юношеские 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Е.С.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Муравьев А.С.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посвященный Дню защитника Отечества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 А.С.</w:t>
            </w:r>
          </w:p>
        </w:tc>
      </w:tr>
      <w:tr>
        <w:trPr>
          <w:trHeight w:val="315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турнир «Кубок дружбы»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Поволжья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Муравьев А.С.</w:t>
            </w:r>
          </w:p>
        </w:tc>
      </w:tr>
      <w:tr>
        <w:trPr>
          <w:trHeight w:val="780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ШАХМАТЫ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Шарангского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А.И.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памяти В.И.Бандурина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северных районов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А.И.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школ района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 А.С.</w:t>
            </w:r>
          </w:p>
        </w:tc>
      </w:tr>
      <w:tr>
        <w:trPr>
          <w:trHeight w:val="678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ТЕСТИРОВАНИЕ ВФСК «ГОТОВ К ТРУДУ И ОБОРОНЕ»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фестиваль ГТО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 сдать нормы ГТО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Перунов С.Н.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фестиваль ГТО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 сдать нормы ГТО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Перунов С.Н.</w:t>
            </w:r>
          </w:p>
        </w:tc>
      </w:tr>
      <w:tr>
        <w:trPr>
          <w:trHeight w:val="441" w:hRule="atLeast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Летний фестиваль ГТО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п.Шаранга ФОК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Все желающие сдать нормы ГТО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Перунов С.Н.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225" w:hRule="atLeast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Осенний фестиваль ГТО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п.Шаранга ФОК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Все желающие сдать нормы ГТО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200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Перунов С.Н.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960" w:hRule="atLeast"/>
        </w:trPr>
        <w:tc>
          <w:tcPr>
            <w:tcW w:w="15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МАССОВЫЕ СОРЕВНОВАНИЯ ДЛЯ РАЗЛИЧНЫХ КАТЕГОРИЙ НАСЕЛЕНИЯ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«Лыжня России»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фестиваль детских садов «Малышиада»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 А.С.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«Кросс нации»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п.Шаранга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ходьбы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Физкультурно-массовые мероприятия антинаркотической направленности «Спорт для всех»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Школы, филиал ШАПТ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Олимпийский день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физкультурника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КФК, школы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Домрачев А.П.</w:t>
            </w:r>
          </w:p>
        </w:tc>
      </w:tr>
      <w:tr>
        <w:trPr>
          <w:trHeight w:val="678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для людей с ограниченными возможностями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п.Шаранга ФОК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Зайцев Д.А.</w:t>
            </w:r>
          </w:p>
        </w:tc>
      </w:tr>
    </w:tbl>
    <w:p>
      <w:pPr>
        <w:pStyle w:val="Normal"/>
        <w:suppressAutoHyphens w:val="false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79375</wp:posOffset>
                </wp:positionH>
                <wp:positionV relativeFrom="paragraph">
                  <wp:posOffset>8125460</wp:posOffset>
                </wp:positionV>
                <wp:extent cx="2948940" cy="103124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31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2.2pt;height:81.2pt;mso-wrap-distance-left:9.05pt;mso-wrap-distance-right:9.05pt;mso-wrap-distance-top:0pt;mso-wrap-distance-bottom:0pt;margin-top:639.8pt;mso-position-vertical-relative:text;margin-left:6.2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5"/>
      <w:headerReference w:type="first" r:id="rId6"/>
      <w:type w:val="nextPage"/>
      <w:pgSz w:orient="landscape" w:w="16838" w:h="11906"/>
      <w:pgMar w:left="851" w:right="851" w:header="930" w:top="1418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roman"/>
    <w:pitch w:val="default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>3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>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4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Style14"/>
    <w:qFormat/>
    <w:rPr>
      <w:rFonts w:ascii="Courier New" w:hAnsi="Courier New" w:eastAsia="Times New Roman" w:cs="Courier New"/>
      <w:sz w:val="20"/>
      <w:szCs w:val="20"/>
      <w:lang w:bidi="ar-SA"/>
    </w:rPr>
  </w:style>
  <w:style w:type="character" w:styleId="Style17">
    <w:name w:val="Верхний колонтитул Знак"/>
    <w:basedOn w:val="Style14"/>
    <w:qFormat/>
    <w:rPr>
      <w:rFonts w:ascii="Times New Roman" w:hAnsi="Times New Roman" w:eastAsia="Times New Roman" w:cs="Times New Roman"/>
      <w:color w:val="00000A"/>
      <w:lang w:eastAsia="zh-CN"/>
    </w:rPr>
  </w:style>
  <w:style w:type="character" w:styleId="Style18">
    <w:name w:val="Нижний колонтитул Знак"/>
    <w:basedOn w:val="Style14"/>
    <w:qFormat/>
    <w:rPr>
      <w:rFonts w:ascii="Times New Roman" w:hAnsi="Times New Roman" w:eastAsia="Times New Roman" w:cs="Times New Roman"/>
      <w:color w:val="00000A"/>
      <w:lang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keepNext w:val="true"/>
      <w:numPr>
        <w:ilvl w:val="0"/>
        <w:numId w:val="2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Heading2">
    <w:name w:val="Heading 2"/>
    <w:basedOn w:val="Normal"/>
    <w:qFormat/>
    <w:pPr>
      <w:keepNext w:val="true"/>
      <w:numPr>
        <w:ilvl w:val="0"/>
        <w:numId w:val="2"/>
      </w:numPr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qFormat/>
    <w:pPr>
      <w:keepNext w:val="true"/>
      <w:numPr>
        <w:ilvl w:val="0"/>
        <w:numId w:val="2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5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Header">
    <w:name w:val="Header"/>
    <w:basedOn w:val="Normal"/>
    <w:qFormat/>
    <w:pPr/>
    <w:rPr/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6">
    <w:name w:val="Текст"/>
    <w:basedOn w:val="Normal"/>
    <w:qFormat/>
    <w:pPr/>
    <w:rPr>
      <w:rFonts w:ascii="Courier New" w:hAnsi="Courier New" w:cs="Courier New"/>
    </w:rPr>
  </w:style>
  <w:style w:type="paragraph" w:styleId="31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Footer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Style28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ind w:firstLine="720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9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hanging="350"/>
    </w:pPr>
    <w:rPr>
      <w:sz w:val="24"/>
      <w:szCs w:val="24"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2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color w:val="000000"/>
      <w:sz w:val="24"/>
      <w:szCs w:val="24"/>
    </w:rPr>
  </w:style>
  <w:style w:type="paragraph" w:styleId="Style3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LibreOffice/6.1.2.1$Windows_x86 LibreOffice_project/65905a128db06ba48db947242809d14d3f9a93fe</Application>
  <Pages>9</Pages>
  <Words>1189</Words>
  <Characters>7454</Characters>
  <CharactersWithSpaces>8114</CharactersWithSpaces>
  <Paragraphs>545</Paragraphs>
  <Company>Microsoft_x0000__x0000_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2018-11-01T13:53:00Z</dcterms:created>
  <dc:creator>Катышева Е. В.</dc:creator>
  <dc:description/>
  <cp:keywords/>
  <dc:language>ru-RU</dc:language>
  <cp:lastModifiedBy>Priemnaja</cp:lastModifiedBy>
  <cp:lastPrinted>2018-11-01T13:53:00Z</cp:lastPrinted>
  <dcterms:modified xsi:type="dcterms:W3CDTF">2018-11-01T15:44:00Z</dcterms:modified>
  <cp:revision>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Microsoft_x0000__x0000_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