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.04.2018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«Развитие пассажирского транспорта на территории Шарангского муниципального района Нижегородской области на 2017-2019 годы», утвержденную постановлением администрации Шарангского муниципального района от 02.11.2016 года № 607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В соответствии с решением Земского собрания от 22.12.2017 года №57 «О районном бюджете на 2018 год и плановый период 2019 и 2020 годов»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программу «Развитие пассажирского транспорта на территории Шарангского муниципального района Нижегородской области на 2017-2019 годы, утвержденную</w:t>
      </w:r>
      <w:r>
        <w:rPr>
          <w:rStyle w:val="FontStyle13"/>
          <w:sz w:val="28"/>
          <w:szCs w:val="28"/>
        </w:rPr>
        <w:t xml:space="preserve"> постановлением администрации Шарангского муниципального района </w:t>
      </w:r>
      <w:r>
        <w:rPr>
          <w:bCs/>
          <w:sz w:val="28"/>
          <w:szCs w:val="28"/>
        </w:rPr>
        <w:t xml:space="preserve">от 02.11.2016 года № 607 </w:t>
      </w:r>
      <w:r>
        <w:rPr>
          <w:sz w:val="28"/>
          <w:szCs w:val="28"/>
        </w:rPr>
        <w:t>(далее - программа)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программы </w:t>
      </w:r>
      <w:r>
        <w:rPr>
          <w:sz w:val="28"/>
          <w:szCs w:val="28"/>
        </w:rPr>
        <w:t>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hanging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8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35"/>
        <w:gridCol w:w="1980"/>
        <w:gridCol w:w="1410"/>
        <w:gridCol w:w="1245"/>
        <w:gridCol w:w="1080"/>
        <w:gridCol w:w="1935"/>
      </w:tblGrid>
      <w:tr>
        <w:trPr>
          <w:trHeight w:val="225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>
        <w:trPr>
          <w:trHeight w:val="854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реализации,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>
        <w:trPr>
          <w:trHeight w:val="330" w:hRule="atLeas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8167,5</w:t>
            </w:r>
          </w:p>
        </w:tc>
      </w:tr>
      <w:tr>
        <w:trPr>
          <w:trHeight w:val="330" w:hRule="atLeas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2 «Текст Программы»: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2.2 «Цели и задачи программы» таблицу №1 изложить в следующей редакции:</w:t>
      </w:r>
    </w:p>
    <w:p>
      <w:pPr>
        <w:pStyle w:val="Normal"/>
        <w:spacing w:lineRule="auto" w:line="360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tbl>
      <w:tblPr>
        <w:tblW w:w="9645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85"/>
        <w:gridCol w:w="1905"/>
        <w:gridCol w:w="1920"/>
        <w:gridCol w:w="1905"/>
        <w:gridCol w:w="2130"/>
      </w:tblGrid>
      <w:tr>
        <w:trPr/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убытков от работы пассажирского транспорта из бюджета Шарангского муниципального района, тыс.рублей</w:t>
            </w:r>
          </w:p>
        </w:tc>
      </w:tr>
      <w:tr>
        <w:trPr/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«Шарангское ПАП»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4032,6</w:t>
            </w:r>
          </w:p>
        </w:tc>
      </w:tr>
    </w:tbl>
    <w:p>
      <w:pPr>
        <w:pStyle w:val="Normal"/>
        <w:jc w:val="right"/>
        <w:rPr/>
      </w:pPr>
      <w:r>
        <w:rPr>
          <w:sz w:val="28"/>
          <w:szCs w:val="28"/>
        </w:rPr>
        <w:t>»;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Пункты 2.5.-2.7.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мероприятий.</w:t>
      </w:r>
    </w:p>
    <w:p>
      <w:pPr>
        <w:pStyle w:val="Normal"/>
        <w:widowControl w:val="false"/>
        <w:autoSpaceDE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представляются в табличной форме:</w:t>
      </w:r>
    </w:p>
    <w:tbl>
      <w:tblPr>
        <w:tblW w:w="9630" w:type="dxa"/>
        <w:jc w:val="lef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7" w:type="dxa"/>
          <w:bottom w:w="0" w:type="dxa"/>
          <w:right w:w="75" w:type="dxa"/>
        </w:tblCellMar>
      </w:tblPr>
      <w:tblGrid>
        <w:gridCol w:w="735"/>
        <w:gridCol w:w="1140"/>
        <w:gridCol w:w="1125"/>
        <w:gridCol w:w="1065"/>
        <w:gridCol w:w="975"/>
        <w:gridCol w:w="810"/>
        <w:gridCol w:w="945"/>
        <w:gridCol w:w="1080"/>
        <w:gridCol w:w="855"/>
        <w:gridCol w:w="900"/>
      </w:tblGrid>
      <w:tr>
        <w:trPr/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N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Сроки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реализации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Ответственный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4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Предполагаемый объем финансирования, тыс. руб.</w:t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феде-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ральный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бюджет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област-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ной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бюджет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районный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бюджет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прочие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источ-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ники</w:t>
            </w:r>
          </w:p>
        </w:tc>
      </w:tr>
      <w:tr>
        <w:trPr/>
        <w:tc>
          <w:tcPr>
            <w:tcW w:w="7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10</w:t>
            </w:r>
          </w:p>
        </w:tc>
      </w:tr>
      <w:tr>
        <w:trPr/>
        <w:tc>
          <w:tcPr>
            <w:tcW w:w="963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Задача 1. Создание эффективной системообразующей транспортной инфраструктуры для удовлетворения потребностей населения на территории района.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1.1.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8"/>
                <w:szCs w:val="18"/>
              </w:rPr>
              <w:t xml:space="preserve">Приобретение подвижного состава - 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автобусов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000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1.2.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8"/>
                <w:szCs w:val="18"/>
              </w:rPr>
              <w:t>Оборудование подвижного состава тахографами - 10 шт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180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1.3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8"/>
                <w:szCs w:val="18"/>
              </w:rPr>
              <w:t>Оборудование подвиж.состава спутниковой системой ГЛОНАС\</w:t>
            </w:r>
            <w:r>
              <w:rPr>
                <w:sz w:val="18"/>
                <w:szCs w:val="18"/>
                <w:lang w:val="en-US"/>
              </w:rPr>
              <w:t>GPS</w:t>
            </w:r>
            <w:r>
              <w:rPr>
                <w:sz w:val="18"/>
                <w:szCs w:val="18"/>
              </w:rPr>
              <w:t xml:space="preserve"> – 3 шт.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1.4.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Переоборудование автобусов на работу на СУГ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140,9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20,9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40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1.5.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кровли мастерской МУП «Шарангское ПАП»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4000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1500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1500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1000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1.6.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8"/>
                <w:szCs w:val="18"/>
              </w:rPr>
              <w:t>Ремонт кровли модуля МУП «Шарангское ПАП»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1.7.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административного здания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«Шарангское ПАП»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760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760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1.8.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Обучение,аттестация ИТР,водит.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96,6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80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88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16,6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1.9.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Установка системы противопожарного оповещения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1.10.</w:t>
            </w:r>
          </w:p>
        </w:tc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Обязательн. страхование пассажиров</w:t>
            </w: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600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600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Итого: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8167,5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5530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1550,9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3-й год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1086,6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2.6. Ресурсное обеспечение программы.</w:t>
      </w:r>
    </w:p>
    <w:tbl>
      <w:tblPr>
        <w:tblW w:w="9675" w:type="dxa"/>
        <w:jc w:val="lef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7" w:type="dxa"/>
          <w:bottom w:w="0" w:type="dxa"/>
          <w:right w:w="75" w:type="dxa"/>
        </w:tblCellMar>
      </w:tblPr>
      <w:tblGrid>
        <w:gridCol w:w="1365"/>
        <w:gridCol w:w="1335"/>
        <w:gridCol w:w="1305"/>
        <w:gridCol w:w="1650"/>
        <w:gridCol w:w="1350"/>
        <w:gridCol w:w="1365"/>
        <w:gridCol w:w="1305"/>
      </w:tblGrid>
      <w:tr>
        <w:trPr>
          <w:trHeight w:val="540" w:hRule="atLeast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69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</w:tr>
      <w:tr>
        <w:trPr>
          <w:trHeight w:val="540" w:hRule="atLeast"/>
        </w:trPr>
        <w:tc>
          <w:tcPr>
            <w:tcW w:w="13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36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8167,5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8167,5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5530,0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1550,9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1550,9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2.7. Индикаторы достижения цели (целей) программы</w:t>
      </w:r>
    </w:p>
    <w:tbl>
      <w:tblPr>
        <w:tblW w:w="9645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670"/>
        <w:gridCol w:w="1755"/>
        <w:gridCol w:w="1470"/>
        <w:gridCol w:w="1590"/>
        <w:gridCol w:w="2160"/>
      </w:tblGrid>
      <w:tr>
        <w:trPr>
          <w:trHeight w:val="240" w:hRule="atLeast"/>
        </w:trPr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индикаторов целей программы 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индикаторов целей программы </w:t>
            </w:r>
          </w:p>
        </w:tc>
        <w:tc>
          <w:tcPr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индикаторов целей программы </w:t>
            </w:r>
          </w:p>
        </w:tc>
      </w:tr>
      <w:tr>
        <w:trPr>
          <w:trHeight w:val="840" w:hRule="atLeast"/>
        </w:trPr>
        <w:tc>
          <w:tcPr>
            <w:tcW w:w="267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момент разработки программы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реализации программы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программного вмешательства (после предполагаемого срока реализации программы) </w:t>
            </w:r>
          </w:p>
        </w:tc>
      </w:tr>
      <w:tr>
        <w:trPr>
          <w:trHeight w:val="24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Перевезено пассажиров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360,2</w:t>
            </w:r>
          </w:p>
        </w:tc>
      </w:tr>
      <w:tr>
        <w:trPr>
          <w:trHeight w:val="24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пассажирского подвижного состава с истекшим нормативным сроком службы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>
        <w:trPr>
          <w:trHeight w:val="24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убытков от работы пассажирского транспорта из бюджета Шарангского муниципального района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4032,6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left" w:pos="7655" w:leader="none"/>
        </w:tabs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805" cy="103060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04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05pt;height:8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4859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5pt;height:11.6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Application>LibreOffice/6.0.2.1$Windows_x86 LibreOffice_project/f7f06a8f319e4b62f9bc5095aa112a65d2f3ac89</Application>
  <Pages>4</Pages>
  <Words>605</Words>
  <Characters>3610</Characters>
  <CharactersWithSpaces>3964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2018-04-12T11:28:06Z</cp:lastPrinted>
  <dcterms:modified xsi:type="dcterms:W3CDTF">2018-04-12T11:28:42Z</dcterms:modified>
  <cp:revision>25</cp:revision>
  <dc:subject/>
  <dc:title>ПОСТАНОВЛЕНИЕ</dc:title>
</cp:coreProperties>
</file>