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.03.2018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Положение об оплате труда работников муниципального бюджетного учреждения «Многофункциональный центр предоставления государственных и муниципальных услуг Шарангского муниципального района Нижегородской области»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В целях реализации распоряжения администрации Шарангского муниципального района Нижегородской области от 12 декабря 2017 года №94 «О принятии мер по увеличению оплаты труда работников бюджетного сектора экономики Шарангского района»,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sz w:val="28"/>
          <w:szCs w:val="28"/>
        </w:rPr>
        <w:t>1. Внести в Положение об оплате труда работников муниципального бюджетного учреждения «Многофункциональный центр предоставления государственных и муниципальных услуг Шарангского муниципального района Нижегородской области», утвержденное постановлением администрации Шарангского муниципального района от 17.07.2014г. №465 следующие изменения: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contextualSpacing/>
        <w:jc w:val="both"/>
        <w:outlineLvl w:val="0"/>
        <w:rPr/>
      </w:pPr>
      <w:r>
        <w:rPr>
          <w:sz w:val="28"/>
          <w:szCs w:val="28"/>
        </w:rPr>
        <w:t xml:space="preserve">1.1. В пункте 3.5 таблицу </w:t>
      </w:r>
      <w:r>
        <w:rPr>
          <w:rFonts w:eastAsia="Calibri"/>
          <w:sz w:val="28"/>
          <w:szCs w:val="28"/>
        </w:rPr>
        <w:t xml:space="preserve">изложить в следующей редакции: </w:t>
      </w:r>
    </w:p>
    <w:tbl>
      <w:tblPr>
        <w:tblStyle w:val="a5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3345"/>
        <w:gridCol w:w="2205"/>
        <w:gridCol w:w="1830"/>
      </w:tblGrid>
      <w:tr>
        <w:trPr/>
        <w:tc>
          <w:tcPr>
            <w:tcW w:w="226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34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Должности, отнесенные к ПКГ</w:t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Повышающий коэффициент к минимальному размеру должностного оклада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Должностной оклад, руб</w:t>
            </w:r>
          </w:p>
        </w:tc>
      </w:tr>
      <w:tr>
        <w:trPr/>
        <w:tc>
          <w:tcPr>
            <w:tcW w:w="9645" w:type="dxa"/>
            <w:gridSpan w:val="4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должностного оклада – 4639 рублей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специалист;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Юристконсульт;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Бухгалтер;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7052,00</w:t>
            </w:r>
          </w:p>
        </w:tc>
      </w:tr>
      <w:tr>
        <w:trPr/>
        <w:tc>
          <w:tcPr>
            <w:tcW w:w="9645" w:type="dxa"/>
            <w:gridSpan w:val="4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Должности, не включенные в ПКГ «Общеотраслевые должности служащих третьего уровня»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должностного оклада – 4639 рублей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по прему, обработке и выдаче документов</w:t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6866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по приему, обработке и выдаче документов</w:t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7052</w:t>
            </w:r>
          </w:p>
        </w:tc>
      </w:tr>
    </w:tbl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contextualSpacing/>
        <w:jc w:val="both"/>
        <w:outlineLvl w:val="0"/>
        <w:rPr/>
      </w:pPr>
      <w:r>
        <w:rPr>
          <w:rFonts w:eastAsia="Calibri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пункте 3.6 таблицу </w:t>
      </w:r>
      <w:r>
        <w:rPr>
          <w:rFonts w:eastAsia="Calibri"/>
          <w:sz w:val="28"/>
          <w:szCs w:val="28"/>
        </w:rPr>
        <w:t xml:space="preserve">изложить в следующей редакции: </w:t>
      </w:r>
    </w:p>
    <w:tbl>
      <w:tblPr>
        <w:tblStyle w:val="a5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3345"/>
        <w:gridCol w:w="2205"/>
        <w:gridCol w:w="1830"/>
      </w:tblGrid>
      <w:tr>
        <w:trPr/>
        <w:tc>
          <w:tcPr>
            <w:tcW w:w="226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34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Должности, отнесенные к ПКГ</w:t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Повышающий коэффициент к минимальному размеру должностного оклада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Должностной оклад, руб</w:t>
            </w:r>
          </w:p>
        </w:tc>
      </w:tr>
      <w:tr>
        <w:trPr/>
        <w:tc>
          <w:tcPr>
            <w:tcW w:w="9645" w:type="dxa"/>
            <w:gridSpan w:val="4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должностного оклада – 3297 рублей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3429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8"/>
        <w:jc w:val="both"/>
        <w:rPr/>
      </w:pPr>
      <w:r>
        <w:rPr>
          <w:rFonts w:eastAsia="Calibri"/>
          <w:sz w:val="28"/>
          <w:szCs w:val="28"/>
        </w:rPr>
        <w:t>2. Настоящее постановление распространяется на правоотношения, возникшие с 1 января 2018г.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1170" cy="10299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8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pt;height:8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47955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80" cy="14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5pt;margin-top:0.05pt;width:17.9pt;height:11.5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Application>LibreOffice/6.0.2.1$Windows_x86 LibreOffice_project/f7f06a8f319e4b62f9bc5095aa112a65d2f3ac89</Application>
  <Pages>3</Pages>
  <Words>257</Words>
  <Characters>1867</Characters>
  <CharactersWithSpaces>2085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2018-03-30T16:18:56Z</cp:lastPrinted>
  <dcterms:modified xsi:type="dcterms:W3CDTF">2018-03-30T16:19:46Z</dcterms:modified>
  <cp:revision>24</cp:revision>
  <dc:subject/>
  <dc:title>ПОСТАНОВЛЕНИЕ</dc:title>
</cp:coreProperties>
</file>