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header6.xml" ContentType="application/vnd.openxmlformats-officedocument.wordprocessingml.header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media/image1.png" ContentType="image/png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right="0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left" w:pos="8789" w:leader="none"/>
        </w:tabs>
        <w:rPr/>
      </w:pPr>
      <w:r>
        <w:rPr>
          <w:sz w:val="28"/>
          <w:szCs w:val="28"/>
        </w:rPr>
        <w:t>от 26.03.2018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150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ind w:left="1134" w:right="1134" w:hanging="0"/>
        <w:jc w:val="center"/>
        <w:rPr>
          <w:b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 xml:space="preserve">О внесении изменений в Муниципальную программу «Развитие агропромышленного комплекса Шарангского муниципального района Нижегородской области» </w:t>
      </w:r>
    </w:p>
    <w:p>
      <w:pPr>
        <w:pStyle w:val="ConsPlusNormal"/>
        <w:widowControl/>
        <w:ind w:left="0" w:right="0"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left="0" w:right="0"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В целях приведения в соответствие с решением Земского собрания Шарангского муниципального района Нижегородской области от 22.12.2017г. № 57 «О районном бюджете на 2018 год и на плановый период 2019 и 2020 годов», администрация Шарангского муниципального района </w:t>
      </w:r>
    </w:p>
    <w:p>
      <w:pPr>
        <w:pStyle w:val="Normal"/>
        <w:spacing w:lineRule="auto" w:line="360" w:before="0" w:after="0"/>
        <w:ind w:left="0" w:right="0" w:hanging="0"/>
        <w:jc w:val="both"/>
        <w:rPr>
          <w:b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п о с т а н о в л я е т:</w:t>
      </w:r>
    </w:p>
    <w:p>
      <w:pPr>
        <w:pStyle w:val="ListParagraph"/>
        <w:spacing w:lineRule="auto" w:line="360" w:before="0" w:after="0"/>
        <w:ind w:left="0" w:right="0"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>1. Внести в Муниципальную программу «Развитие агропромышленного комплекса Шарангского муниципального района Нижегородской области», утвержденную постановлением администрации Шарангского муниципального района от 05.12.2014г. №775 (с изменениями от 24.02.2016г. №88, от 30.01.2017г. №50, от 28.11.2017г. №661), следующие изменения:</w:t>
      </w:r>
    </w:p>
    <w:p>
      <w:pPr>
        <w:pStyle w:val="ListParagraph"/>
        <w:widowControl w:val="false"/>
        <w:spacing w:lineRule="auto" w:line="360" w:before="0" w:after="0"/>
        <w:ind w:left="0" w:right="0"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>1.1. Позицию «Объемы бюджетных ассигнований Программы за счет средств бюджетов всех уровней» паспорта Муниципальной программы (раздел 1) изложить в следующей редакции:</w:t>
      </w:r>
    </w:p>
    <w:p>
      <w:pPr>
        <w:pStyle w:val="ListParagraph"/>
        <w:widowControl w:val="false"/>
        <w:spacing w:lineRule="auto" w:line="360" w:before="0" w:after="0"/>
        <w:ind w:left="0" w:right="0"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>«Объемы бюджетных ассигнований Программы за счет средств бюджетов всех уровней- Муниципальная программа: всего–196 763,8 тыс. рублей, в том числе по годам реализации:</w:t>
      </w:r>
    </w:p>
    <w:tbl>
      <w:tblPr>
        <w:tblStyle w:val="af7"/>
        <w:tblW w:w="9645" w:type="dxa"/>
        <w:jc w:val="left"/>
        <w:tblInd w:w="-23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  <w:tblLook w:val="04a0"/>
      </w:tblPr>
      <w:tblGrid>
        <w:gridCol w:w="1245"/>
        <w:gridCol w:w="2040"/>
        <w:gridCol w:w="1710"/>
        <w:gridCol w:w="2145"/>
        <w:gridCol w:w="2505"/>
      </w:tblGrid>
      <w:tr>
        <w:trPr/>
        <w:tc>
          <w:tcPr>
            <w:tcW w:w="12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Годы</w:t>
            </w:r>
          </w:p>
        </w:tc>
        <w:tc>
          <w:tcPr>
            <w:tcW w:w="204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Всего (тыс.руб.)</w:t>
            </w:r>
          </w:p>
        </w:tc>
        <w:tc>
          <w:tcPr>
            <w:tcW w:w="63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 том числе расходы:</w:t>
            </w:r>
          </w:p>
        </w:tc>
      </w:tr>
      <w:tr>
        <w:trPr/>
        <w:tc>
          <w:tcPr>
            <w:tcW w:w="1245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2040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местного </w:t>
            </w:r>
          </w:p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бюджета</w:t>
            </w:r>
          </w:p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(тыс.руб.)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областного</w:t>
            </w:r>
          </w:p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</w:rPr>
              <w:t>бюджета</w:t>
            </w:r>
          </w:p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(тыс.руб.)</w:t>
            </w:r>
          </w:p>
        </w:tc>
        <w:tc>
          <w:tcPr>
            <w:tcW w:w="25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федерального </w:t>
            </w:r>
          </w:p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бюджета</w:t>
            </w:r>
          </w:p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(тыс.руб.)</w:t>
            </w:r>
          </w:p>
        </w:tc>
      </w:tr>
      <w:tr>
        <w:trPr/>
        <w:tc>
          <w:tcPr>
            <w:tcW w:w="12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2015 год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24 391,7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627,3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12 403,5</w:t>
            </w:r>
          </w:p>
        </w:tc>
        <w:tc>
          <w:tcPr>
            <w:tcW w:w="25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11 360,9</w:t>
            </w:r>
          </w:p>
        </w:tc>
      </w:tr>
      <w:tr>
        <w:trPr/>
        <w:tc>
          <w:tcPr>
            <w:tcW w:w="12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2016 год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21 227,3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585,7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10 709,1</w:t>
            </w:r>
          </w:p>
        </w:tc>
        <w:tc>
          <w:tcPr>
            <w:tcW w:w="25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9 932,5</w:t>
            </w:r>
          </w:p>
        </w:tc>
      </w:tr>
      <w:tr>
        <w:trPr/>
        <w:tc>
          <w:tcPr>
            <w:tcW w:w="12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2017 год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44 654,3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381,1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35 240,0</w:t>
            </w:r>
          </w:p>
        </w:tc>
        <w:tc>
          <w:tcPr>
            <w:tcW w:w="25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9 033,2</w:t>
            </w:r>
          </w:p>
        </w:tc>
      </w:tr>
      <w:tr>
        <w:trPr/>
        <w:tc>
          <w:tcPr>
            <w:tcW w:w="12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2018 год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51 678,3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481,2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41 540,7</w:t>
            </w:r>
          </w:p>
        </w:tc>
        <w:tc>
          <w:tcPr>
            <w:tcW w:w="25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9 656,4</w:t>
            </w:r>
          </w:p>
        </w:tc>
      </w:tr>
      <w:tr>
        <w:trPr/>
        <w:tc>
          <w:tcPr>
            <w:tcW w:w="12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2019 год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23 057,1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327,2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11 541,6</w:t>
            </w:r>
          </w:p>
        </w:tc>
        <w:tc>
          <w:tcPr>
            <w:tcW w:w="25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11 188,3</w:t>
            </w:r>
          </w:p>
        </w:tc>
      </w:tr>
      <w:tr>
        <w:trPr/>
        <w:tc>
          <w:tcPr>
            <w:tcW w:w="12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2020 год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31 755,1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304,9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20 275,2</w:t>
            </w:r>
          </w:p>
        </w:tc>
        <w:tc>
          <w:tcPr>
            <w:tcW w:w="25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11 175,0</w:t>
            </w:r>
          </w:p>
        </w:tc>
      </w:tr>
    </w:tbl>
    <w:p>
      <w:pPr>
        <w:pStyle w:val="ListParagraph"/>
        <w:widowControl w:val="false"/>
        <w:spacing w:lineRule="auto" w:line="360" w:before="0" w:after="0"/>
        <w:ind w:left="0" w:righ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</w:r>
    </w:p>
    <w:p>
      <w:pPr>
        <w:pStyle w:val="ListParagraph"/>
        <w:widowControl w:val="false"/>
        <w:spacing w:lineRule="auto" w:line="360" w:before="0" w:after="0"/>
        <w:ind w:left="0" w:right="0"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Подпрограмма </w:t>
      </w:r>
      <w:r>
        <w:rPr>
          <w:rFonts w:cs="Times New Roman"/>
          <w:bCs/>
          <w:sz w:val="28"/>
          <w:szCs w:val="28"/>
        </w:rPr>
        <w:t>"</w:t>
      </w:r>
      <w:r>
        <w:rPr>
          <w:rFonts w:cs="Times New Roman"/>
          <w:sz w:val="28"/>
          <w:szCs w:val="28"/>
        </w:rPr>
        <w:t>Развитие сельского хозяйства, пищевой и перерабатывающей промышленности Шарангского муниципального района Нижегородской области</w:t>
      </w:r>
      <w:r>
        <w:rPr>
          <w:rFonts w:cs="Times New Roman"/>
          <w:bCs/>
          <w:sz w:val="28"/>
          <w:szCs w:val="28"/>
        </w:rPr>
        <w:t>"</w:t>
      </w:r>
      <w:r>
        <w:rPr>
          <w:rFonts w:cs="Times New Roman"/>
          <w:sz w:val="28"/>
          <w:szCs w:val="28"/>
        </w:rPr>
        <w:t xml:space="preserve"> до 2020 года: всего – 171 946,4 тыс. рублей, в том числе по годам реализации:</w:t>
      </w:r>
    </w:p>
    <w:tbl>
      <w:tblPr>
        <w:tblStyle w:val="af7"/>
        <w:tblW w:w="9645" w:type="dxa"/>
        <w:jc w:val="left"/>
        <w:tblInd w:w="-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  <w:tblLook w:val="04a0"/>
      </w:tblPr>
      <w:tblGrid>
        <w:gridCol w:w="1245"/>
        <w:gridCol w:w="2040"/>
        <w:gridCol w:w="1710"/>
        <w:gridCol w:w="2145"/>
        <w:gridCol w:w="2505"/>
      </w:tblGrid>
      <w:tr>
        <w:trPr/>
        <w:tc>
          <w:tcPr>
            <w:tcW w:w="12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Годы</w:t>
            </w:r>
          </w:p>
        </w:tc>
        <w:tc>
          <w:tcPr>
            <w:tcW w:w="204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Всего (тыс.руб.)</w:t>
            </w:r>
          </w:p>
        </w:tc>
        <w:tc>
          <w:tcPr>
            <w:tcW w:w="63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 том числе расходы:</w:t>
            </w:r>
          </w:p>
        </w:tc>
      </w:tr>
      <w:tr>
        <w:trPr/>
        <w:tc>
          <w:tcPr>
            <w:tcW w:w="1245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360" w:before="0" w:after="0"/>
              <w:ind w:left="0" w:right="0" w:hang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2040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360" w:before="0" w:after="0"/>
              <w:ind w:left="0" w:right="0" w:hang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местного</w:t>
            </w:r>
          </w:p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бюджета</w:t>
            </w:r>
          </w:p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(тыс.руб.)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областного </w:t>
            </w:r>
          </w:p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бюджета</w:t>
            </w:r>
          </w:p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(тыс.руб.)</w:t>
            </w:r>
          </w:p>
        </w:tc>
        <w:tc>
          <w:tcPr>
            <w:tcW w:w="25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федерального</w:t>
            </w:r>
          </w:p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</w:rPr>
              <w:t>бюджета</w:t>
            </w:r>
          </w:p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(тыс.руб.)</w:t>
            </w:r>
          </w:p>
        </w:tc>
      </w:tr>
      <w:tr>
        <w:trPr/>
        <w:tc>
          <w:tcPr>
            <w:tcW w:w="12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2015 год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19 759,9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627,3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7 771,7</w:t>
            </w:r>
          </w:p>
        </w:tc>
        <w:tc>
          <w:tcPr>
            <w:tcW w:w="25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11 360,9</w:t>
            </w:r>
          </w:p>
        </w:tc>
      </w:tr>
      <w:tr>
        <w:trPr/>
        <w:tc>
          <w:tcPr>
            <w:tcW w:w="12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2016 год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17 475,8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585,7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6 957,6</w:t>
            </w:r>
          </w:p>
        </w:tc>
        <w:tc>
          <w:tcPr>
            <w:tcW w:w="25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9 932,5</w:t>
            </w:r>
          </w:p>
        </w:tc>
      </w:tr>
      <w:tr>
        <w:trPr/>
        <w:tc>
          <w:tcPr>
            <w:tcW w:w="12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2017 год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40 574,4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381,1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31 160,1</w:t>
            </w:r>
          </w:p>
        </w:tc>
        <w:tc>
          <w:tcPr>
            <w:tcW w:w="25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</w:rPr>
              <w:t>9 033,2</w:t>
            </w:r>
          </w:p>
        </w:tc>
      </w:tr>
      <w:tr>
        <w:trPr/>
        <w:tc>
          <w:tcPr>
            <w:tcW w:w="12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2018 год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47 703,0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481,2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37 565,4</w:t>
            </w:r>
          </w:p>
        </w:tc>
        <w:tc>
          <w:tcPr>
            <w:tcW w:w="25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9 656,4</w:t>
            </w:r>
          </w:p>
        </w:tc>
      </w:tr>
      <w:tr>
        <w:trPr/>
        <w:tc>
          <w:tcPr>
            <w:tcW w:w="12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2019 год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18 941,0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327,2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7 425,5</w:t>
            </w:r>
          </w:p>
        </w:tc>
        <w:tc>
          <w:tcPr>
            <w:tcW w:w="25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11 188,3</w:t>
            </w:r>
          </w:p>
        </w:tc>
      </w:tr>
      <w:tr>
        <w:trPr/>
        <w:tc>
          <w:tcPr>
            <w:tcW w:w="12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2020 год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27 492,3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304,9</w:t>
            </w:r>
          </w:p>
        </w:tc>
        <w:tc>
          <w:tcPr>
            <w:tcW w:w="214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16 012,4</w:t>
            </w:r>
          </w:p>
        </w:tc>
        <w:tc>
          <w:tcPr>
            <w:tcW w:w="25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11 175,0</w:t>
            </w:r>
          </w:p>
        </w:tc>
      </w:tr>
    </w:tbl>
    <w:p>
      <w:pPr>
        <w:pStyle w:val="ListParagraph"/>
        <w:spacing w:lineRule="auto" w:line="360" w:before="0" w:after="0"/>
        <w:ind w:left="0" w:righ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</w:r>
    </w:p>
    <w:p>
      <w:pPr>
        <w:pStyle w:val="ListParagraph"/>
        <w:spacing w:lineRule="auto" w:line="360" w:before="0" w:after="0"/>
        <w:ind w:left="0" w:right="0"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Подпрограмма </w:t>
      </w:r>
      <w:r>
        <w:rPr>
          <w:rFonts w:cs="Times New Roman"/>
          <w:bCs/>
          <w:sz w:val="28"/>
          <w:szCs w:val="28"/>
        </w:rPr>
        <w:t>"</w:t>
      </w:r>
      <w:r>
        <w:rPr>
          <w:rFonts w:cs="Times New Roman"/>
          <w:sz w:val="28"/>
          <w:szCs w:val="28"/>
        </w:rPr>
        <w:t>Устойчивое развитие сельских территорий Шарангского муниципального района Нижегородской области</w:t>
      </w:r>
      <w:r>
        <w:rPr>
          <w:rFonts w:cs="Times New Roman"/>
          <w:bCs/>
          <w:sz w:val="28"/>
          <w:szCs w:val="28"/>
        </w:rPr>
        <w:t>"</w:t>
      </w:r>
      <w:r>
        <w:rPr>
          <w:rFonts w:cs="Times New Roman"/>
          <w:sz w:val="28"/>
          <w:szCs w:val="28"/>
        </w:rPr>
        <w:t xml:space="preserve"> до 2020 года</w:t>
      </w:r>
      <w:r>
        <w:rPr>
          <w:rFonts w:cs="Times New Roman"/>
          <w:bCs/>
          <w:sz w:val="28"/>
          <w:szCs w:val="28"/>
        </w:rPr>
        <w:t>: не предусматривает бюджетных ассигнований за счет средств бюджетов всех уровней.</w:t>
      </w:r>
    </w:p>
    <w:p>
      <w:pPr>
        <w:pStyle w:val="ListParagraph"/>
        <w:spacing w:lineRule="auto" w:line="360" w:before="0" w:after="0"/>
        <w:ind w:left="0" w:right="0"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Подпрограмма </w:t>
      </w:r>
      <w:r>
        <w:rPr>
          <w:rFonts w:cs="Times New Roman"/>
          <w:bCs/>
          <w:sz w:val="28"/>
          <w:szCs w:val="28"/>
        </w:rPr>
        <w:t>"</w:t>
      </w:r>
      <w:r>
        <w:rPr>
          <w:rFonts w:cs="Times New Roman"/>
          <w:sz w:val="28"/>
          <w:szCs w:val="28"/>
        </w:rPr>
        <w:t>Эпизоотическое благополучие Шарангского муниципального района Нижегородской области</w:t>
      </w:r>
      <w:r>
        <w:rPr>
          <w:rFonts w:cs="Times New Roman"/>
          <w:bCs/>
          <w:sz w:val="28"/>
          <w:szCs w:val="28"/>
        </w:rPr>
        <w:t>"</w:t>
      </w:r>
      <w:r>
        <w:rPr>
          <w:rFonts w:cs="Times New Roman"/>
          <w:sz w:val="28"/>
          <w:szCs w:val="28"/>
        </w:rPr>
        <w:t xml:space="preserve"> до 2020 года</w:t>
      </w:r>
      <w:r>
        <w:rPr>
          <w:rFonts w:cs="Times New Roman"/>
          <w:bCs/>
          <w:sz w:val="28"/>
          <w:szCs w:val="28"/>
        </w:rPr>
        <w:t>: не предусматривает бюджетных ассигнований за счет средств бюджетов всех уровней.</w:t>
      </w:r>
    </w:p>
    <w:p>
      <w:pPr>
        <w:pStyle w:val="ListParagraph"/>
        <w:spacing w:lineRule="auto" w:line="360" w:before="0" w:after="0"/>
        <w:ind w:left="0" w:right="0"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Подпрограмма </w:t>
      </w:r>
      <w:r>
        <w:rPr>
          <w:rFonts w:cs="Times New Roman"/>
          <w:bCs/>
          <w:sz w:val="28"/>
          <w:szCs w:val="28"/>
        </w:rPr>
        <w:t>"</w:t>
      </w:r>
      <w:r>
        <w:rPr>
          <w:rFonts w:cs="Times New Roman"/>
          <w:sz w:val="28"/>
          <w:szCs w:val="28"/>
        </w:rPr>
        <w:t>Обеспечение реализации Муниципальной программы</w:t>
      </w:r>
      <w:r>
        <w:rPr>
          <w:rFonts w:cs="Times New Roman"/>
          <w:bCs/>
          <w:sz w:val="28"/>
          <w:szCs w:val="28"/>
        </w:rPr>
        <w:t xml:space="preserve"> ": всего –</w:t>
      </w:r>
      <w:r>
        <w:rPr>
          <w:rFonts w:cs="Times New Roman"/>
          <w:sz w:val="28"/>
          <w:szCs w:val="28"/>
        </w:rPr>
        <w:t xml:space="preserve"> 24 817,4 тыс. рублей за счет средств областного бюджета, в том числе по годам реализации:</w:t>
      </w:r>
    </w:p>
    <w:p>
      <w:pPr>
        <w:pStyle w:val="ListParagraph"/>
        <w:spacing w:lineRule="auto" w:line="360" w:before="0" w:after="0"/>
        <w:ind w:left="0" w:right="0"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>2015 год – 4 631,8 тыс. рублей;</w:t>
      </w:r>
    </w:p>
    <w:p>
      <w:pPr>
        <w:pStyle w:val="ListParagraph"/>
        <w:spacing w:lineRule="auto" w:line="360" w:before="0" w:after="0"/>
        <w:ind w:left="0" w:right="0"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>2016 год – 3 751,5 тыс. рублей;</w:t>
      </w:r>
    </w:p>
    <w:p>
      <w:pPr>
        <w:pStyle w:val="ListParagraph"/>
        <w:spacing w:lineRule="auto" w:line="360" w:before="0" w:after="0"/>
        <w:ind w:left="0" w:right="0"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>2017 год – 4 079,9 тыс. рублей;</w:t>
      </w:r>
    </w:p>
    <w:p>
      <w:pPr>
        <w:pStyle w:val="ListParagraph"/>
        <w:spacing w:lineRule="auto" w:line="360" w:before="0" w:after="0"/>
        <w:ind w:left="0" w:right="0"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>2018 год – 3 975,3 тыс. рублей;</w:t>
      </w:r>
    </w:p>
    <w:p>
      <w:pPr>
        <w:pStyle w:val="ListParagraph"/>
        <w:spacing w:lineRule="auto" w:line="360" w:before="0" w:after="0"/>
        <w:ind w:left="0" w:right="0"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>2019 год – 4 116,1 тыс. рублей;</w:t>
      </w:r>
    </w:p>
    <w:p>
      <w:pPr>
        <w:pStyle w:val="ListParagraph"/>
        <w:spacing w:lineRule="auto" w:line="360" w:before="0" w:after="0"/>
        <w:ind w:left="0" w:right="0"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2020 год – 4 262,8 тыс. рублей </w:t>
      </w:r>
      <w:r>
        <w:rPr>
          <w:rFonts w:cs="Times New Roman"/>
          <w:bCs/>
          <w:sz w:val="28"/>
          <w:szCs w:val="28"/>
        </w:rPr>
        <w:t>».</w:t>
      </w:r>
    </w:p>
    <w:p>
      <w:pPr>
        <w:pStyle w:val="ListParagraph"/>
        <w:spacing w:lineRule="auto" w:line="360" w:before="0" w:after="0"/>
        <w:ind w:left="0" w:right="0"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>1.2. В разделе 2. Текстовая часть Муниципальной программы:</w:t>
      </w:r>
    </w:p>
    <w:p>
      <w:pPr>
        <w:pStyle w:val="Normal"/>
        <w:widowControl w:val="false"/>
        <w:numPr>
          <w:ilvl w:val="0"/>
          <w:numId w:val="0"/>
        </w:numPr>
        <w:spacing w:lineRule="auto" w:line="360" w:before="0" w:after="0"/>
        <w:ind w:left="0" w:right="0" w:firstLine="709"/>
        <w:jc w:val="both"/>
        <w:outlineLvl w:val="2"/>
        <w:rPr>
          <w:sz w:val="28"/>
          <w:szCs w:val="28"/>
        </w:rPr>
      </w:pPr>
      <w:r>
        <w:rPr>
          <w:rFonts w:cs="Times New Roman"/>
          <w:sz w:val="28"/>
          <w:szCs w:val="28"/>
        </w:rPr>
        <w:t>1.2.1. В пункте 2.4. Таблицу 1 «Перечень основных мероприятий Муниципальной программы» изложить в новой редакции (Приложение 1 к настоящему постановлению).</w:t>
      </w:r>
    </w:p>
    <w:p>
      <w:pPr>
        <w:pStyle w:val="Normal"/>
        <w:widowControl w:val="false"/>
        <w:numPr>
          <w:ilvl w:val="0"/>
          <w:numId w:val="0"/>
        </w:numPr>
        <w:spacing w:lineRule="auto" w:line="360" w:before="0" w:after="0"/>
        <w:ind w:left="0" w:right="0" w:firstLine="709"/>
        <w:jc w:val="both"/>
        <w:outlineLvl w:val="2"/>
        <w:rPr>
          <w:sz w:val="28"/>
          <w:szCs w:val="28"/>
        </w:rPr>
      </w:pPr>
      <w:r>
        <w:rPr>
          <w:rFonts w:cs="Times New Roman"/>
          <w:sz w:val="28"/>
          <w:szCs w:val="28"/>
        </w:rPr>
        <w:t>1.2.2. В пункте 2.6.:</w:t>
      </w:r>
    </w:p>
    <w:p>
      <w:pPr>
        <w:pStyle w:val="Normal"/>
        <w:widowControl w:val="false"/>
        <w:numPr>
          <w:ilvl w:val="0"/>
          <w:numId w:val="0"/>
        </w:numPr>
        <w:spacing w:lineRule="auto" w:line="360" w:before="0" w:after="0"/>
        <w:ind w:left="0" w:right="0" w:firstLine="709"/>
        <w:jc w:val="both"/>
        <w:outlineLvl w:val="2"/>
        <w:rPr>
          <w:sz w:val="28"/>
          <w:szCs w:val="28"/>
        </w:rPr>
      </w:pPr>
      <w:r>
        <w:rPr>
          <w:rFonts w:cs="Times New Roman"/>
          <w:sz w:val="28"/>
          <w:szCs w:val="28"/>
        </w:rPr>
        <w:t>- таблицу 3 «Ресурсное обеспечение реализации Муниципальной программы за счет средств местного бюджета» изложить в новой редакции (Приложение 2 к настоящему постановлению);</w:t>
      </w:r>
    </w:p>
    <w:p>
      <w:pPr>
        <w:pStyle w:val="Normal"/>
        <w:widowControl w:val="false"/>
        <w:numPr>
          <w:ilvl w:val="0"/>
          <w:numId w:val="0"/>
        </w:numPr>
        <w:spacing w:lineRule="auto" w:line="360" w:before="0" w:after="0"/>
        <w:ind w:left="0" w:right="0" w:firstLine="709"/>
        <w:jc w:val="both"/>
        <w:outlineLvl w:val="2"/>
        <w:rPr>
          <w:sz w:val="28"/>
          <w:szCs w:val="28"/>
        </w:rPr>
      </w:pPr>
      <w:r>
        <w:rPr>
          <w:rFonts w:cs="Times New Roman"/>
          <w:sz w:val="28"/>
          <w:szCs w:val="28"/>
        </w:rPr>
        <w:t>- таблицу 4 «Прогнозная оценка расходов на реализацию Муниципальной программы за счет всех источников» изложить в новой редакции (Приложение 3 к настоящему постановлению).</w:t>
      </w:r>
    </w:p>
    <w:p>
      <w:pPr>
        <w:pStyle w:val="ListParagraph"/>
        <w:spacing w:lineRule="auto" w:line="360" w:before="0" w:after="0"/>
        <w:ind w:left="0" w:right="0"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>1.3. В разделе 3. Подпрограммы Муниципальной программы: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>1.3.1. Позицию «Объемы бюджетных ассигнований Подпрограммы 1 за счет средств бюджетов всех уровней» паспорта Подпрограммы 1 «Развитие сельского хозяйства, пищевой и перерабатывающей промышленности Шарангского муниципального района Нижегородской области» до 2020 года изложить в следующей редакции: «</w:t>
      </w:r>
    </w:p>
    <w:tbl>
      <w:tblPr>
        <w:tblStyle w:val="af7"/>
        <w:tblW w:w="9585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  <w:tblLook w:val="04a0"/>
      </w:tblPr>
      <w:tblGrid>
        <w:gridCol w:w="2376"/>
        <w:gridCol w:w="7208"/>
      </w:tblGrid>
      <w:tr>
        <w:trPr/>
        <w:tc>
          <w:tcPr>
            <w:tcW w:w="2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Объемы бюджетных ассигнований </w:t>
            </w:r>
          </w:p>
          <w:p>
            <w:pPr>
              <w:pStyle w:val="Normal"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Подпрограммы 1</w:t>
            </w:r>
          </w:p>
          <w:p>
            <w:pPr>
              <w:pStyle w:val="Normal"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 счет бюджетов всех уровней</w:t>
            </w:r>
          </w:p>
        </w:tc>
        <w:tc>
          <w:tcPr>
            <w:tcW w:w="7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ListParagraph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Подпрограмма </w:t>
            </w:r>
            <w:r>
              <w:rPr>
                <w:rFonts w:cs="Times New Roman"/>
                <w:bCs/>
                <w:sz w:val="24"/>
                <w:szCs w:val="24"/>
              </w:rPr>
              <w:t>"</w:t>
            </w:r>
            <w:r>
              <w:rPr>
                <w:rFonts w:cs="Times New Roman"/>
                <w:sz w:val="24"/>
                <w:szCs w:val="24"/>
              </w:rPr>
              <w:t>Развитие производства</w:t>
            </w:r>
            <w:r>
              <w:rPr>
                <w:rFonts w:cs="Times New Roman"/>
                <w:bCs/>
                <w:sz w:val="24"/>
                <w:szCs w:val="24"/>
              </w:rPr>
              <w:t>"</w:t>
            </w:r>
            <w:r>
              <w:rPr>
                <w:rFonts w:cs="Times New Roman"/>
                <w:sz w:val="24"/>
                <w:szCs w:val="24"/>
              </w:rPr>
              <w:t>: всего – 171 946,4 тыс. рублей, в том числе по годам реализации:</w:t>
            </w:r>
          </w:p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2015 год – 19 759,9 тыс. рублей;</w:t>
            </w:r>
          </w:p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2016 год – 17 475,8 тыс. рублей;</w:t>
            </w:r>
          </w:p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2017 год – 40 574,4 тыс. рублей;</w:t>
            </w:r>
          </w:p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2018 год – 47 703,0 тыс. рублей;</w:t>
            </w:r>
          </w:p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2019 год – 18 941,0 тыс. рублей;</w:t>
            </w:r>
          </w:p>
          <w:p>
            <w:pPr>
              <w:pStyle w:val="ListParagraph"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2020 год – 27 492,3 тыс. рублей.</w:t>
            </w:r>
          </w:p>
        </w:tc>
      </w:tr>
    </w:tbl>
    <w:p>
      <w:pPr>
        <w:pStyle w:val="Normal"/>
        <w:spacing w:lineRule="auto" w:line="360" w:before="0" w:after="0"/>
        <w:ind w:left="0" w:right="0" w:firstLine="709"/>
        <w:jc w:val="right"/>
        <w:rPr>
          <w:sz w:val="28"/>
          <w:szCs w:val="28"/>
        </w:rPr>
      </w:pPr>
      <w:r>
        <w:rPr>
          <w:rFonts w:cs="Times New Roman"/>
          <w:sz w:val="28"/>
          <w:szCs w:val="28"/>
        </w:rPr>
        <w:t>»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>1.3.2. Позицию «Объемы бюджетных ассигнований Подпрограммы 4 за счет средств местного бюджета» паспорта Подпрограммы 4 «Обеспечение реализации Муниципальной программы» изложить в следующей редакции: «</w:t>
      </w:r>
    </w:p>
    <w:tbl>
      <w:tblPr>
        <w:tblStyle w:val="af7"/>
        <w:tblW w:w="9645" w:type="dxa"/>
        <w:jc w:val="left"/>
        <w:tblInd w:w="-34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  <w:tblLook w:val="04a0"/>
      </w:tblPr>
      <w:tblGrid>
        <w:gridCol w:w="2409"/>
        <w:gridCol w:w="7235"/>
      </w:tblGrid>
      <w:tr>
        <w:trPr>
          <w:trHeight w:val="381" w:hRule="atLeast"/>
        </w:trPr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Объемы бюджетных ассигнований </w:t>
            </w:r>
          </w:p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Подпрограммы 4</w:t>
            </w:r>
          </w:p>
          <w:p>
            <w:pPr>
              <w:pStyle w:val="ListParagraph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 счет областного бюджета</w:t>
            </w:r>
          </w:p>
        </w:tc>
        <w:tc>
          <w:tcPr>
            <w:tcW w:w="7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ListParagraph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Подпрограмма </w:t>
            </w:r>
            <w:r>
              <w:rPr>
                <w:rFonts w:cs="Times New Roman"/>
                <w:bCs/>
                <w:sz w:val="24"/>
                <w:szCs w:val="24"/>
              </w:rPr>
              <w:t>"Обеспечение реализации": всего –</w:t>
            </w:r>
            <w:r>
              <w:rPr>
                <w:rFonts w:cs="Times New Roman"/>
                <w:sz w:val="24"/>
                <w:szCs w:val="24"/>
              </w:rPr>
              <w:t xml:space="preserve"> 24 817,4 тыс. руб., в том числе по годам реализации:</w:t>
            </w:r>
          </w:p>
          <w:p>
            <w:pPr>
              <w:pStyle w:val="ListParagraph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2015 год – 4 631,8 тыс. рублей;</w:t>
            </w:r>
          </w:p>
          <w:p>
            <w:pPr>
              <w:pStyle w:val="ListParagraph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2016 год – 3 751,5 тыс. рублей;</w:t>
            </w:r>
          </w:p>
          <w:p>
            <w:pPr>
              <w:pStyle w:val="ListParagraph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2017 год – 4 079,9 тыс. рублей;</w:t>
            </w:r>
          </w:p>
          <w:p>
            <w:pPr>
              <w:pStyle w:val="ListParagraph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2018 год – 3 975,3 тыс. рублей;</w:t>
            </w:r>
          </w:p>
          <w:p>
            <w:pPr>
              <w:pStyle w:val="ListParagraph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2019 год – 4 116,1 тыс. рублей;</w:t>
            </w:r>
          </w:p>
          <w:p>
            <w:pPr>
              <w:pStyle w:val="ListParagraph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2020 год – 4 262,8 тыс. рублей.</w:t>
            </w:r>
          </w:p>
        </w:tc>
      </w:tr>
    </w:tbl>
    <w:p>
      <w:pPr>
        <w:pStyle w:val="ListParagraph"/>
        <w:spacing w:lineRule="auto" w:line="360" w:before="0" w:after="0"/>
        <w:ind w:left="0" w:right="0" w:firstLine="709"/>
        <w:contextualSpacing/>
        <w:jc w:val="right"/>
        <w:rPr>
          <w:sz w:val="28"/>
          <w:szCs w:val="28"/>
        </w:rPr>
      </w:pPr>
      <w:r>
        <w:rPr>
          <w:rFonts w:cs="Times New Roman"/>
          <w:sz w:val="28"/>
          <w:szCs w:val="28"/>
        </w:rPr>
        <w:t>»</w:t>
      </w:r>
    </w:p>
    <w:p>
      <w:pPr>
        <w:pStyle w:val="Normal"/>
        <w:widowControl w:val="false"/>
        <w:numPr>
          <w:ilvl w:val="0"/>
          <w:numId w:val="0"/>
        </w:numPr>
        <w:spacing w:lineRule="auto" w:line="360" w:before="0" w:after="0"/>
        <w:ind w:left="0" w:right="0" w:firstLine="709"/>
        <w:jc w:val="both"/>
        <w:outlineLvl w:val="2"/>
        <w:rPr>
          <w:sz w:val="28"/>
          <w:szCs w:val="28"/>
        </w:rPr>
      </w:pPr>
      <w:r>
        <w:rPr>
          <w:rFonts w:cs="Times New Roman"/>
          <w:sz w:val="28"/>
          <w:szCs w:val="28"/>
        </w:rPr>
        <w:t>1.3.3. Таблицу 5 «Аналитическое распределение бюджетных средств, направляемых на реализацию Подпрограммы "Обеспечение реализации Муниципальной программы" (за счет средств областного бюджета), тыс. руб.» изложить в новой редакции (Приложение 4 к настоящему постановлению).</w:t>
      </w:r>
    </w:p>
    <w:p>
      <w:pPr>
        <w:pStyle w:val="ListParagraph"/>
        <w:spacing w:lineRule="auto" w:line="360" w:before="0" w:after="0"/>
        <w:ind w:left="0" w:right="0"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>1.4. В разделе 4. Оценка планируемой эффективности Муниципальной программы:</w:t>
      </w:r>
    </w:p>
    <w:p>
      <w:pPr>
        <w:pStyle w:val="ListParagraph"/>
        <w:widowControl w:val="false"/>
        <w:numPr>
          <w:ilvl w:val="0"/>
          <w:numId w:val="0"/>
        </w:numPr>
        <w:spacing w:lineRule="auto" w:line="360" w:before="0" w:after="0"/>
        <w:ind w:left="0" w:right="0" w:firstLine="709"/>
        <w:contextualSpacing/>
        <w:jc w:val="both"/>
        <w:outlineLvl w:val="2"/>
        <w:rPr>
          <w:sz w:val="28"/>
          <w:szCs w:val="28"/>
        </w:rPr>
      </w:pPr>
      <w:r>
        <w:rPr>
          <w:rFonts w:cs="Times New Roman"/>
          <w:sz w:val="28"/>
          <w:szCs w:val="28"/>
        </w:rPr>
        <w:t>таблицу «Экономическая эффективность реализации Подпрограммы 1» изложить в следующей редакции:</w:t>
      </w:r>
    </w:p>
    <w:p>
      <w:pPr>
        <w:pStyle w:val="ListParagraph"/>
        <w:widowControl w:val="false"/>
        <w:numPr>
          <w:ilvl w:val="0"/>
          <w:numId w:val="0"/>
        </w:numPr>
        <w:spacing w:lineRule="auto" w:line="360" w:before="0" w:after="0"/>
        <w:ind w:left="0" w:right="0" w:firstLine="709"/>
        <w:contextualSpacing/>
        <w:jc w:val="both"/>
        <w:outlineLvl w:val="2"/>
        <w:rPr>
          <w:sz w:val="28"/>
          <w:szCs w:val="28"/>
        </w:rPr>
      </w:pPr>
      <w:r>
        <w:rPr>
          <w:rFonts w:cs="Times New Roman"/>
          <w:sz w:val="28"/>
          <w:szCs w:val="28"/>
        </w:rPr>
        <w:t>«Экономическая эффективность реализации Подпрограммы 1</w:t>
      </w:r>
    </w:p>
    <w:tbl>
      <w:tblPr>
        <w:tblW w:w="9645" w:type="dxa"/>
        <w:jc w:val="left"/>
        <w:tblInd w:w="7" w:type="dxa"/>
        <w:tblBorders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  <w:insideH w:val="single" w:sz="6" w:space="0" w:color="00000A"/>
          <w:insideV w:val="single" w:sz="6" w:space="0" w:color="00000A"/>
        </w:tblBorders>
        <w:tblCellMar>
          <w:top w:w="0" w:type="dxa"/>
          <w:left w:w="69" w:type="dxa"/>
          <w:bottom w:w="0" w:type="dxa"/>
          <w:right w:w="70" w:type="dxa"/>
        </w:tblCellMar>
        <w:tblLook w:val="0000"/>
      </w:tblPr>
      <w:tblGrid>
        <w:gridCol w:w="4814"/>
        <w:gridCol w:w="975"/>
        <w:gridCol w:w="781"/>
        <w:gridCol w:w="780"/>
        <w:gridCol w:w="705"/>
        <w:gridCol w:w="735"/>
        <w:gridCol w:w="854"/>
      </w:tblGrid>
      <w:tr>
        <w:trPr>
          <w:trHeight w:val="534" w:hRule="atLeast"/>
        </w:trPr>
        <w:tc>
          <w:tcPr>
            <w:tcW w:w="48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2015 год</w:t>
            </w:r>
          </w:p>
        </w:tc>
        <w:tc>
          <w:tcPr>
            <w:tcW w:w="7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2016 год</w:t>
            </w:r>
          </w:p>
        </w:tc>
        <w:tc>
          <w:tcPr>
            <w:tcW w:w="7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2017 год</w:t>
            </w:r>
          </w:p>
        </w:tc>
        <w:tc>
          <w:tcPr>
            <w:tcW w:w="7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2018 год</w:t>
            </w:r>
          </w:p>
        </w:tc>
        <w:tc>
          <w:tcPr>
            <w:tcW w:w="7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2019 год</w:t>
            </w:r>
          </w:p>
        </w:tc>
        <w:tc>
          <w:tcPr>
            <w:tcW w:w="8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2020 год</w:t>
            </w:r>
          </w:p>
        </w:tc>
      </w:tr>
      <w:tr>
        <w:trPr>
          <w:trHeight w:val="238" w:hRule="atLeast"/>
        </w:trPr>
        <w:tc>
          <w:tcPr>
            <w:tcW w:w="48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Затраты местного бюджета на реализацию основных мероприятий подпрограммы, тыс.руб.</w:t>
            </w:r>
          </w:p>
        </w:tc>
        <w:tc>
          <w:tcPr>
            <w:tcW w:w="9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627,3</w:t>
            </w:r>
          </w:p>
        </w:tc>
        <w:tc>
          <w:tcPr>
            <w:tcW w:w="7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585,7</w:t>
            </w:r>
          </w:p>
        </w:tc>
        <w:tc>
          <w:tcPr>
            <w:tcW w:w="7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381,1</w:t>
            </w:r>
          </w:p>
        </w:tc>
        <w:tc>
          <w:tcPr>
            <w:tcW w:w="7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481,2</w:t>
            </w:r>
          </w:p>
        </w:tc>
        <w:tc>
          <w:tcPr>
            <w:tcW w:w="7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327,2</w:t>
            </w:r>
          </w:p>
        </w:tc>
        <w:tc>
          <w:tcPr>
            <w:tcW w:w="8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304,9</w:t>
            </w:r>
          </w:p>
        </w:tc>
      </w:tr>
      <w:tr>
        <w:trPr>
          <w:trHeight w:val="238" w:hRule="atLeast"/>
        </w:trPr>
        <w:tc>
          <w:tcPr>
            <w:tcW w:w="48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Стоимость валовой сельскохозяйственной продукции в действующих ценах, тыс. руб.</w:t>
            </w:r>
          </w:p>
        </w:tc>
        <w:tc>
          <w:tcPr>
            <w:tcW w:w="9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669,9</w:t>
            </w:r>
          </w:p>
        </w:tc>
        <w:tc>
          <w:tcPr>
            <w:tcW w:w="7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739,1</w:t>
            </w:r>
          </w:p>
        </w:tc>
        <w:tc>
          <w:tcPr>
            <w:tcW w:w="7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806,1</w:t>
            </w:r>
          </w:p>
        </w:tc>
        <w:tc>
          <w:tcPr>
            <w:tcW w:w="7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875,9</w:t>
            </w:r>
          </w:p>
        </w:tc>
        <w:tc>
          <w:tcPr>
            <w:tcW w:w="7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953,7</w:t>
            </w:r>
          </w:p>
        </w:tc>
        <w:tc>
          <w:tcPr>
            <w:tcW w:w="8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1044,5</w:t>
            </w:r>
          </w:p>
        </w:tc>
      </w:tr>
      <w:tr>
        <w:trPr>
          <w:trHeight w:val="238" w:hRule="atLeast"/>
        </w:trPr>
        <w:tc>
          <w:tcPr>
            <w:tcW w:w="48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Расходы местного бюджета на сельское хозяйство в расчете на 1 рубль произведенной сельскохозяйственной продукции, руб.</w:t>
            </w:r>
          </w:p>
        </w:tc>
        <w:tc>
          <w:tcPr>
            <w:tcW w:w="9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0,94</w:t>
            </w:r>
          </w:p>
        </w:tc>
        <w:tc>
          <w:tcPr>
            <w:tcW w:w="7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0,79</w:t>
            </w:r>
          </w:p>
        </w:tc>
        <w:tc>
          <w:tcPr>
            <w:tcW w:w="7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0,47</w:t>
            </w:r>
          </w:p>
        </w:tc>
        <w:tc>
          <w:tcPr>
            <w:tcW w:w="7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0,55</w:t>
            </w:r>
          </w:p>
        </w:tc>
        <w:tc>
          <w:tcPr>
            <w:tcW w:w="7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0,34</w:t>
            </w:r>
          </w:p>
        </w:tc>
        <w:tc>
          <w:tcPr>
            <w:tcW w:w="8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vAlign w:val="bottom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0,29</w:t>
            </w:r>
          </w:p>
        </w:tc>
      </w:tr>
    </w:tbl>
    <w:p>
      <w:pPr>
        <w:pStyle w:val="ListParagraph"/>
        <w:widowControl w:val="false"/>
        <w:numPr>
          <w:ilvl w:val="0"/>
          <w:numId w:val="0"/>
        </w:numPr>
        <w:spacing w:lineRule="auto" w:line="360" w:before="0" w:after="0"/>
        <w:ind w:left="0" w:right="0" w:firstLine="709"/>
        <w:contextualSpacing/>
        <w:jc w:val="right"/>
        <w:outlineLvl w:val="2"/>
        <w:rPr>
          <w:sz w:val="28"/>
          <w:szCs w:val="28"/>
        </w:rPr>
      </w:pPr>
      <w:r>
        <w:rPr>
          <w:rFonts w:cs="Times New Roman"/>
          <w:sz w:val="28"/>
          <w:szCs w:val="28"/>
        </w:rPr>
        <w:t>»</w:t>
      </w:r>
    </w:p>
    <w:p>
      <w:pPr>
        <w:pStyle w:val="ListParagraph"/>
        <w:widowControl w:val="false"/>
        <w:spacing w:lineRule="auto" w:line="360" w:before="0" w:after="0"/>
        <w:ind w:left="0" w:right="0" w:firstLine="709"/>
        <w:contextualSpacing/>
        <w:jc w:val="both"/>
        <w:rPr>
          <w:sz w:val="28"/>
          <w:szCs w:val="28"/>
        </w:rPr>
      </w:pPr>
      <w:r>
        <w:rPr>
          <w:rFonts w:eastAsia="Calibri" w:cs="Times New Roman"/>
          <w:sz w:val="28"/>
          <w:szCs w:val="28"/>
        </w:rPr>
        <w:t>2. Контроль за исполнением настоящего постановления возложить на начальника управления сельского хозяйства администрации Шарангского муниципального района О.А.Лежнину.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567" w:top="851" w:footer="0" w:bottom="993" w:gutter="0"/>
          <w:pgNumType w:fmt="decimal"/>
          <w:formProt w:val="false"/>
          <w:titlePg/>
          <w:textDirection w:val="lrTb"/>
          <w:docGrid w:type="default" w:linePitch="360" w:charSpace="0"/>
        </w:sectPr>
        <w:pStyle w:val="Normal"/>
        <w:tabs>
          <w:tab w:val="left" w:pos="7938" w:leader="none"/>
        </w:tabs>
        <w:jc w:val="both"/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69850</wp:posOffset>
                </wp:positionH>
                <wp:positionV relativeFrom="paragraph">
                  <wp:posOffset>8448040</wp:posOffset>
                </wp:positionV>
                <wp:extent cx="3011805" cy="1030605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1040" cy="1029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Врезка1" fillcolor="white" stroked="f" style="position:absolute;margin-left:5.5pt;margin-top:665.2pt;width:237.05pt;height:81.05pt">
                <w10:wrap type="none"/>
                <v:fill o:detectmouseclick="t" type="solid" color2="black"/>
                <v:stroke color="#3465a4" joinstyle="round" endcap="flat"/>
              </v:rect>
            </w:pict>
          </mc:Fallback>
        </mc:AlternateContent>
      </w:r>
      <w:r>
        <w:rPr>
          <w:sz w:val="28"/>
          <w:szCs w:val="28"/>
        </w:rPr>
        <w:t>Глава администрации</w:t>
        <w:tab/>
        <w:t>О.Л. Зыков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bidi w:val="0"/>
        <w:spacing w:lineRule="auto" w:line="240" w:before="0" w:after="0"/>
        <w:ind w:left="9298" w:right="0" w:hanging="0"/>
        <w:jc w:val="center"/>
        <w:outlineLvl w:val="2"/>
        <w:rPr/>
      </w:pPr>
      <w:bookmarkStart w:id="0" w:name="__DdeLink__6303_2089901409"/>
      <w:r>
        <w:rPr>
          <w:rFonts w:cs="Times New Roman"/>
          <w:sz w:val="24"/>
          <w:szCs w:val="24"/>
        </w:rPr>
        <w:t xml:space="preserve">Приложение 1 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bidi w:val="0"/>
        <w:spacing w:lineRule="auto" w:line="240" w:before="0" w:after="0"/>
        <w:ind w:left="9298" w:right="0" w:hanging="0"/>
        <w:jc w:val="center"/>
        <w:outlineLvl w:val="2"/>
        <w:rPr/>
      </w:pPr>
      <w:r>
        <w:rPr>
          <w:rFonts w:cs="Times New Roman"/>
          <w:sz w:val="24"/>
          <w:szCs w:val="24"/>
        </w:rPr>
        <w:t xml:space="preserve">к постановлению администрации 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bidi w:val="0"/>
        <w:spacing w:lineRule="auto" w:line="240" w:before="0" w:after="0"/>
        <w:ind w:left="9298" w:right="0" w:hanging="0"/>
        <w:jc w:val="center"/>
        <w:outlineLvl w:val="2"/>
        <w:rPr/>
      </w:pPr>
      <w:r>
        <w:rPr>
          <w:rFonts w:cs="Times New Roman"/>
          <w:sz w:val="24"/>
          <w:szCs w:val="24"/>
        </w:rPr>
        <w:t>Шарангского муниципального района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bidi w:val="0"/>
        <w:spacing w:lineRule="auto" w:line="240" w:before="0" w:after="0"/>
        <w:ind w:left="9298" w:right="0" w:hanging="0"/>
        <w:jc w:val="center"/>
        <w:outlineLvl w:val="2"/>
        <w:rPr/>
      </w:pPr>
      <w:bookmarkStart w:id="1" w:name="__DdeLink__6303_2089901409"/>
      <w:r>
        <w:rPr>
          <w:rFonts w:cs="Times New Roman"/>
          <w:sz w:val="24"/>
          <w:szCs w:val="24"/>
        </w:rPr>
        <w:t>от 26.03.2018г. № 150</w:t>
      </w:r>
      <w:bookmarkEnd w:id="1"/>
    </w:p>
    <w:p>
      <w:pPr>
        <w:pStyle w:val="Normal"/>
        <w:widowControl w:val="false"/>
        <w:numPr>
          <w:ilvl w:val="0"/>
          <w:numId w:val="0"/>
        </w:numPr>
        <w:suppressAutoHyphens w:val="true"/>
        <w:bidi w:val="0"/>
        <w:spacing w:lineRule="auto" w:line="240" w:before="0" w:after="0"/>
        <w:ind w:left="9298" w:right="0" w:hanging="0"/>
        <w:jc w:val="right"/>
        <w:outlineLvl w:val="2"/>
        <w:rPr/>
      </w:pPr>
      <w:r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«Таблица 1</w:t>
      </w:r>
    </w:p>
    <w:p>
      <w:pPr>
        <w:pStyle w:val="ListParagraph"/>
        <w:widowControl w:val="false"/>
        <w:numPr>
          <w:ilvl w:val="0"/>
          <w:numId w:val="0"/>
        </w:numPr>
        <w:spacing w:lineRule="auto" w:line="240" w:before="0" w:after="0"/>
        <w:ind w:left="0" w:right="0" w:hanging="0"/>
        <w:contextualSpacing/>
        <w:jc w:val="center"/>
        <w:outlineLvl w:val="2"/>
        <w:rPr/>
      </w:pPr>
      <w:r>
        <w:rPr>
          <w:rFonts w:cs="Times New Roman"/>
          <w:sz w:val="24"/>
          <w:szCs w:val="24"/>
        </w:rPr>
        <w:t>Перечень основных мероприятий Муниципальной программы</w:t>
      </w:r>
    </w:p>
    <w:tbl>
      <w:tblPr>
        <w:tblW w:w="15711" w:type="dxa"/>
        <w:jc w:val="center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1"/>
          <w:right w:val="single" w:sz="4" w:space="0" w:color="00000A"/>
          <w:insideH w:val="single" w:sz="4" w:space="0" w:color="000001"/>
          <w:insideV w:val="single" w:sz="4" w:space="0" w:color="00000A"/>
        </w:tblBorders>
        <w:tblCellMar>
          <w:top w:w="0" w:type="dxa"/>
          <w:left w:w="103" w:type="dxa"/>
          <w:bottom w:w="0" w:type="dxa"/>
          <w:right w:w="108" w:type="dxa"/>
        </w:tblCellMar>
        <w:tblLook w:val="0000"/>
      </w:tblPr>
      <w:tblGrid>
        <w:gridCol w:w="733"/>
        <w:gridCol w:w="2247"/>
        <w:gridCol w:w="1379"/>
        <w:gridCol w:w="1356"/>
        <w:gridCol w:w="1552"/>
        <w:gridCol w:w="2"/>
        <w:gridCol w:w="1095"/>
        <w:gridCol w:w="2"/>
        <w:gridCol w:w="1311"/>
        <w:gridCol w:w="2"/>
        <w:gridCol w:w="1205"/>
        <w:gridCol w:w="2"/>
        <w:gridCol w:w="1205"/>
        <w:gridCol w:w="1"/>
        <w:gridCol w:w="1205"/>
        <w:gridCol w:w="2"/>
        <w:gridCol w:w="1205"/>
        <w:gridCol w:w="1"/>
        <w:gridCol w:w="1205"/>
      </w:tblGrid>
      <w:tr>
        <w:trPr>
          <w:tblHeader w:val="true"/>
          <w:trHeight w:val="675" w:hRule="atLeast"/>
        </w:trPr>
        <w:tc>
          <w:tcPr>
            <w:tcW w:w="73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 xml:space="preserve">№ </w:t>
            </w:r>
            <w:r>
              <w:rPr>
                <w:rFonts w:cs="Times New Roman"/>
                <w:sz w:val="20"/>
                <w:szCs w:val="20"/>
              </w:rPr>
              <w:t>п/п</w:t>
            </w:r>
          </w:p>
        </w:tc>
        <w:tc>
          <w:tcPr>
            <w:tcW w:w="224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Наименование мероприятия</w:t>
            </w:r>
          </w:p>
        </w:tc>
        <w:tc>
          <w:tcPr>
            <w:tcW w:w="137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Категория расходов (капвложения, НИОКР и прочие расходы)</w:t>
            </w:r>
          </w:p>
        </w:tc>
        <w:tc>
          <w:tcPr>
            <w:tcW w:w="135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Сроки выполнения</w:t>
            </w:r>
          </w:p>
        </w:tc>
        <w:tc>
          <w:tcPr>
            <w:tcW w:w="1552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Исполнители мероприятий</w:t>
            </w:r>
          </w:p>
        </w:tc>
        <w:tc>
          <w:tcPr>
            <w:tcW w:w="8443" w:type="dxa"/>
            <w:gridSpan w:val="1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Объем финансирования (по годам) за счет средств бюджетов всех уровней, тыс. рублей</w:t>
            </w:r>
          </w:p>
        </w:tc>
      </w:tr>
      <w:tr>
        <w:trPr>
          <w:tblHeader w:val="true"/>
          <w:trHeight w:val="555" w:hRule="atLeast"/>
        </w:trPr>
        <w:tc>
          <w:tcPr>
            <w:tcW w:w="73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24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379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356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552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2015 год</w:t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2016 год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2017 год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2018 год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2019 год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2020 год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Всего</w:t>
            </w:r>
          </w:p>
        </w:tc>
      </w:tr>
      <w:tr>
        <w:trPr>
          <w:trHeight w:val="950" w:hRule="atLeast"/>
        </w:trPr>
        <w:tc>
          <w:tcPr>
            <w:tcW w:w="7269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 xml:space="preserve">Муниципальная программа </w:t>
            </w:r>
            <w:r>
              <w:rPr>
                <w:rFonts w:cs="Times New Roman"/>
                <w:bCs/>
                <w:sz w:val="20"/>
                <w:szCs w:val="20"/>
              </w:rPr>
              <w:t xml:space="preserve">«Развитие агропромышленного комплекса Шарангского муниципального района Нижегородской области» 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24 391,7</w:t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21 227,3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44 654,3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51 678,3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23 057,1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31 755,1</w:t>
            </w:r>
          </w:p>
        </w:tc>
        <w:tc>
          <w:tcPr>
            <w:tcW w:w="12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196 763,8</w:t>
            </w:r>
          </w:p>
        </w:tc>
      </w:tr>
      <w:tr>
        <w:trPr>
          <w:trHeight w:val="318" w:hRule="atLeast"/>
        </w:trPr>
        <w:tc>
          <w:tcPr>
            <w:tcW w:w="7269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 xml:space="preserve">Цель 1. Развитие производственно-финансовой деятельности организаций агропромышленного комплекса 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19 759,9</w:t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17 475,8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40 574,4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47 703,0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18 941,0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27 492,3</w:t>
            </w:r>
          </w:p>
        </w:tc>
        <w:tc>
          <w:tcPr>
            <w:tcW w:w="12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171 946,4</w:t>
            </w:r>
          </w:p>
        </w:tc>
      </w:tr>
      <w:tr>
        <w:trPr>
          <w:trHeight w:val="318" w:hRule="atLeast"/>
        </w:trPr>
        <w:tc>
          <w:tcPr>
            <w:tcW w:w="7269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 xml:space="preserve">Подпрограмма </w:t>
            </w:r>
            <w:r>
              <w:rPr>
                <w:rFonts w:cs="Times New Roman"/>
                <w:bCs/>
                <w:sz w:val="20"/>
                <w:szCs w:val="20"/>
              </w:rPr>
              <w:t>«</w:t>
            </w:r>
            <w:r>
              <w:rPr>
                <w:rFonts w:cs="Times New Roman"/>
                <w:sz w:val="20"/>
                <w:szCs w:val="20"/>
              </w:rPr>
              <w:t xml:space="preserve">Развитие сельского хозяйства, пищевой и перерабатывающей промышленности Шарангского муниципального района Нижегородской области» </w:t>
            </w:r>
            <w:r>
              <w:rPr>
                <w:rFonts w:cs="Times New Roman"/>
                <w:bCs/>
                <w:sz w:val="20"/>
                <w:szCs w:val="20"/>
              </w:rPr>
              <w:t>до 2020 года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19 759,9</w:t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17 475,8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40 574,4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47 703,0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18 941,0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27 492,3</w:t>
            </w:r>
          </w:p>
        </w:tc>
        <w:tc>
          <w:tcPr>
            <w:tcW w:w="12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171 946,4</w:t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1.1.</w:t>
            </w:r>
          </w:p>
        </w:tc>
        <w:tc>
          <w:tcPr>
            <w:tcW w:w="2247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137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прочие расходы</w:t>
            </w:r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2015-2020 годы</w:t>
            </w:r>
          </w:p>
        </w:tc>
        <w:tc>
          <w:tcPr>
            <w:tcW w:w="155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11 847,6</w:t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11 986,4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12 546,5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10 423,0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11 971,4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15 922,7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74 697,6</w:t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1.2.</w:t>
            </w:r>
          </w:p>
        </w:tc>
        <w:tc>
          <w:tcPr>
            <w:tcW w:w="2247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137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прочие расходы</w:t>
            </w:r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2015-2020 годы</w:t>
            </w:r>
          </w:p>
        </w:tc>
        <w:tc>
          <w:tcPr>
            <w:tcW w:w="155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18"/>
                <w:szCs w:val="18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6 573,0</w:t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4 514,3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27 178,2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34 759,4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6 092,7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10 058,8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89 176,4</w:t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color w:val="000000" w:themeColor="text1"/>
                <w:sz w:val="20"/>
                <w:szCs w:val="20"/>
              </w:rPr>
              <w:t>1.3.</w:t>
            </w:r>
          </w:p>
        </w:tc>
        <w:tc>
          <w:tcPr>
            <w:tcW w:w="2247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Возмещение части затрат организаций агропромышленного комплекса на уплату процентов за пользование кредитными ресурсами</w:t>
            </w:r>
          </w:p>
        </w:tc>
        <w:tc>
          <w:tcPr>
            <w:tcW w:w="137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прочие расходы</w:t>
            </w:r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2015-2020 годы</w:t>
            </w:r>
          </w:p>
        </w:tc>
        <w:tc>
          <w:tcPr>
            <w:tcW w:w="155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712,0</w:t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389,4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218,6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123,8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99,0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79,1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1 621,9</w:t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color w:val="000000" w:themeColor="text1"/>
                <w:sz w:val="20"/>
                <w:szCs w:val="20"/>
              </w:rPr>
              <w:t>1.4.</w:t>
            </w:r>
          </w:p>
        </w:tc>
        <w:tc>
          <w:tcPr>
            <w:tcW w:w="2247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Предоставление средств на поддержку начинающих фермеров и развитие семейных животноводческих ферм на базе крестьянских (фермерских) хозяйств</w:t>
            </w:r>
          </w:p>
        </w:tc>
        <w:tc>
          <w:tcPr>
            <w:tcW w:w="137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прочие расходы</w:t>
            </w:r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2015-2020 годы</w:t>
            </w:r>
          </w:p>
        </w:tc>
        <w:tc>
          <w:tcPr>
            <w:tcW w:w="155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color w:val="000000" w:themeColor="text1"/>
                <w:sz w:val="20"/>
                <w:szCs w:val="20"/>
              </w:rPr>
              <w:t>1.5.</w:t>
            </w:r>
          </w:p>
        </w:tc>
        <w:tc>
          <w:tcPr>
            <w:tcW w:w="2247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Управление рисками в сельскохозяйственном производстве (субсидирование части затрат)</w:t>
            </w:r>
          </w:p>
        </w:tc>
        <w:tc>
          <w:tcPr>
            <w:tcW w:w="137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прочие расходы</w:t>
            </w:r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2015-2020 годы</w:t>
            </w:r>
          </w:p>
        </w:tc>
        <w:tc>
          <w:tcPr>
            <w:tcW w:w="155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color w:val="000000" w:themeColor="text1"/>
                <w:sz w:val="20"/>
                <w:szCs w:val="20"/>
              </w:rPr>
              <w:t>1.6.</w:t>
            </w:r>
          </w:p>
        </w:tc>
        <w:tc>
          <w:tcPr>
            <w:tcW w:w="2247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Финансовое оздоровление сельскохозяйственных товаропроизводителей (предоставление средств на погашение реструктурированных долгов перед бюджетами всех уровней и государственными внебюджетными фондами)</w:t>
            </w:r>
          </w:p>
        </w:tc>
        <w:tc>
          <w:tcPr>
            <w:tcW w:w="137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прочие расходы</w:t>
            </w:r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2015-2020 годы</w:t>
            </w:r>
          </w:p>
        </w:tc>
        <w:tc>
          <w:tcPr>
            <w:tcW w:w="155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18"/>
                <w:szCs w:val="18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color w:val="000000" w:themeColor="text1"/>
                <w:sz w:val="20"/>
                <w:szCs w:val="20"/>
              </w:rPr>
              <w:t>1.7.</w:t>
            </w:r>
          </w:p>
        </w:tc>
        <w:tc>
          <w:tcPr>
            <w:tcW w:w="2247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Приобретение и переоформление прав на земельные участки из земель сельскохозяйственного назначения (субсидирование части затрат)</w:t>
            </w:r>
          </w:p>
        </w:tc>
        <w:tc>
          <w:tcPr>
            <w:tcW w:w="137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прочие расходы</w:t>
            </w:r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2015-2020 годы</w:t>
            </w:r>
          </w:p>
        </w:tc>
        <w:tc>
          <w:tcPr>
            <w:tcW w:w="155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color w:val="000000" w:themeColor="text1"/>
                <w:sz w:val="20"/>
                <w:szCs w:val="20"/>
              </w:rPr>
              <w:t>1.8.</w:t>
            </w:r>
          </w:p>
        </w:tc>
        <w:tc>
          <w:tcPr>
            <w:tcW w:w="2247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Повышение заинтересованности в распространении передового опыта в АПК и улучшении результатов деятельности по производству, переработке и хранению сельскохозяйственной продукции, оказанию услуг и выполнению работ для сельскохозяйственных организаций (проведение конкурсов, слетов, выставок и других мероприятий)</w:t>
            </w:r>
          </w:p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37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прочие расходы</w:t>
            </w:r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2015-2020 годы</w:t>
            </w:r>
          </w:p>
        </w:tc>
        <w:tc>
          <w:tcPr>
            <w:tcW w:w="155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1.9.</w:t>
            </w:r>
          </w:p>
        </w:tc>
        <w:tc>
          <w:tcPr>
            <w:tcW w:w="2247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Обновление парка сельскохозяйственной техники (субсидирование части затрат)</w:t>
            </w:r>
          </w:p>
        </w:tc>
        <w:tc>
          <w:tcPr>
            <w:tcW w:w="137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прочие расходы</w:t>
            </w:r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2015-2020 годы</w:t>
            </w:r>
          </w:p>
        </w:tc>
        <w:tc>
          <w:tcPr>
            <w:tcW w:w="155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250,0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1 915,6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450,7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1 126,8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3 743,1</w:t>
            </w:r>
          </w:p>
        </w:tc>
      </w:tr>
      <w:tr>
        <w:trPr>
          <w:trHeight w:val="1742" w:hRule="atLeast"/>
        </w:trPr>
        <w:tc>
          <w:tcPr>
            <w:tcW w:w="733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1.10.</w:t>
            </w:r>
          </w:p>
        </w:tc>
        <w:tc>
          <w:tcPr>
            <w:tcW w:w="2247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Реализация мер государственной поддержки кадрового потенциала АПК</w:t>
            </w:r>
          </w:p>
        </w:tc>
        <w:tc>
          <w:tcPr>
            <w:tcW w:w="137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прочие расходы</w:t>
            </w:r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2015-2020 годы</w:t>
            </w:r>
          </w:p>
        </w:tc>
        <w:tc>
          <w:tcPr>
            <w:tcW w:w="155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2256" w:hRule="atLeast"/>
        </w:trPr>
        <w:tc>
          <w:tcPr>
            <w:tcW w:w="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1.11</w:t>
            </w:r>
          </w:p>
        </w:tc>
        <w:tc>
          <w:tcPr>
            <w:tcW w:w="22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 xml:space="preserve">Финансовая поддержка сельскохозяйственных предприятий Шарангского муниципального района </w:t>
            </w:r>
          </w:p>
        </w:tc>
        <w:tc>
          <w:tcPr>
            <w:tcW w:w="1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прочие расходы</w:t>
            </w:r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2015-2020 годы</w:t>
            </w:r>
          </w:p>
        </w:tc>
        <w:tc>
          <w:tcPr>
            <w:tcW w:w="1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627,3</w:t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585,7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381,1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481,2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327,2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304,9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2 707,4</w:t>
            </w:r>
          </w:p>
        </w:tc>
      </w:tr>
      <w:tr>
        <w:trPr>
          <w:trHeight w:val="2256" w:hRule="atLeast"/>
        </w:trPr>
        <w:tc>
          <w:tcPr>
            <w:tcW w:w="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2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 том числе на уплату земельного налога</w:t>
            </w:r>
          </w:p>
        </w:tc>
        <w:tc>
          <w:tcPr>
            <w:tcW w:w="1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прочие расходы</w:t>
            </w:r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2015-2020 годы</w:t>
            </w:r>
          </w:p>
        </w:tc>
        <w:tc>
          <w:tcPr>
            <w:tcW w:w="1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395,0</w:t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343,8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107,0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215,4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141,4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130,7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1 333,3</w:t>
            </w:r>
          </w:p>
        </w:tc>
      </w:tr>
      <w:tr>
        <w:trPr>
          <w:trHeight w:val="464" w:hRule="atLeast"/>
        </w:trPr>
        <w:tc>
          <w:tcPr>
            <w:tcW w:w="7269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both"/>
              <w:rPr/>
            </w:pPr>
            <w:r>
              <w:rPr>
                <w:rFonts w:cs="Times New Roman"/>
                <w:bCs/>
                <w:sz w:val="20"/>
                <w:szCs w:val="20"/>
              </w:rPr>
              <w:t xml:space="preserve">Цель </w:t>
            </w:r>
            <w:r>
              <w:rPr>
                <w:rFonts w:cs="Times New Roman"/>
                <w:sz w:val="20"/>
                <w:szCs w:val="20"/>
              </w:rPr>
              <w:t>2. Создание условий для устойчивого развития сельских территорий</w:t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</w:tr>
      <w:tr>
        <w:trPr>
          <w:trHeight w:val="315" w:hRule="atLeast"/>
        </w:trPr>
        <w:tc>
          <w:tcPr>
            <w:tcW w:w="7269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both"/>
              <w:rPr/>
            </w:pPr>
            <w:r>
              <w:rPr>
                <w:rFonts w:cs="Times New Roman"/>
                <w:sz w:val="20"/>
                <w:szCs w:val="20"/>
              </w:rPr>
              <w:t xml:space="preserve">Подпрограмма </w:t>
            </w:r>
            <w:r>
              <w:rPr>
                <w:rFonts w:cs="Times New Roman"/>
                <w:bCs/>
                <w:sz w:val="20"/>
                <w:szCs w:val="20"/>
              </w:rPr>
              <w:t>«</w:t>
            </w:r>
            <w:r>
              <w:rPr>
                <w:rFonts w:cs="Times New Roman"/>
                <w:sz w:val="20"/>
                <w:szCs w:val="20"/>
              </w:rPr>
              <w:t>Устойчивое развитие сельских территорий Шарангского муниципального района Нижегородской области</w:t>
            </w:r>
            <w:r>
              <w:rPr>
                <w:rFonts w:cs="Times New Roman"/>
                <w:bCs/>
                <w:sz w:val="20"/>
                <w:szCs w:val="20"/>
              </w:rPr>
              <w:t>»</w:t>
            </w:r>
            <w:r>
              <w:rPr>
                <w:rFonts w:cs="Times New Roman"/>
                <w:sz w:val="20"/>
                <w:szCs w:val="20"/>
              </w:rPr>
              <w:t xml:space="preserve"> до 2020 года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2.1.</w:t>
            </w:r>
          </w:p>
        </w:tc>
        <w:tc>
          <w:tcPr>
            <w:tcW w:w="2247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Улучшение жилищных условий граждан, проживающих в сельской местности, в том числе молодых семей и молодых специалистов, с использованием средств социальных выплат</w:t>
            </w:r>
          </w:p>
        </w:tc>
        <w:tc>
          <w:tcPr>
            <w:tcW w:w="137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капвложения</w:t>
            </w:r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2015-2020 годы</w:t>
            </w:r>
          </w:p>
        </w:tc>
        <w:tc>
          <w:tcPr>
            <w:tcW w:w="155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2.2.</w:t>
            </w:r>
          </w:p>
        </w:tc>
        <w:tc>
          <w:tcPr>
            <w:tcW w:w="2247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137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капвложения</w:t>
            </w:r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2015-2020 годы</w:t>
            </w:r>
          </w:p>
        </w:tc>
        <w:tc>
          <w:tcPr>
            <w:tcW w:w="155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18"/>
                <w:szCs w:val="18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</w:tr>
      <w:tr>
        <w:trPr>
          <w:trHeight w:val="315" w:hRule="atLeast"/>
        </w:trPr>
        <w:tc>
          <w:tcPr>
            <w:tcW w:w="7269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both"/>
              <w:rPr/>
            </w:pPr>
            <w:r>
              <w:rPr>
                <w:rFonts w:cs="Times New Roman"/>
                <w:bCs/>
                <w:sz w:val="20"/>
                <w:szCs w:val="20"/>
              </w:rPr>
              <w:t xml:space="preserve">Цель </w:t>
            </w:r>
            <w:r>
              <w:rPr>
                <w:rFonts w:cs="Times New Roman"/>
                <w:sz w:val="20"/>
                <w:szCs w:val="20"/>
              </w:rPr>
              <w:t>3. Обеспечение эпизоотического благополучия в Шарангском муниципальном районе Нижегородской области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</w:tr>
      <w:tr>
        <w:trPr>
          <w:trHeight w:val="315" w:hRule="atLeast"/>
        </w:trPr>
        <w:tc>
          <w:tcPr>
            <w:tcW w:w="7269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both"/>
              <w:rPr/>
            </w:pPr>
            <w:r>
              <w:rPr>
                <w:rFonts w:cs="Times New Roman"/>
                <w:sz w:val="20"/>
                <w:szCs w:val="20"/>
              </w:rPr>
              <w:t xml:space="preserve">Подпрограмма </w:t>
            </w:r>
            <w:r>
              <w:rPr>
                <w:rFonts w:cs="Times New Roman"/>
                <w:bCs/>
                <w:sz w:val="20"/>
                <w:szCs w:val="20"/>
              </w:rPr>
              <w:t>«</w:t>
            </w:r>
            <w:r>
              <w:rPr>
                <w:rFonts w:cs="Times New Roman"/>
                <w:sz w:val="20"/>
                <w:szCs w:val="20"/>
              </w:rPr>
              <w:t>Эпизоотическое благополучие Шарангского муниципального района Нижегородской области</w:t>
            </w:r>
            <w:r>
              <w:rPr>
                <w:rFonts w:cs="Times New Roman"/>
                <w:bCs/>
                <w:sz w:val="20"/>
                <w:szCs w:val="20"/>
              </w:rPr>
              <w:t>»</w:t>
            </w:r>
            <w:r>
              <w:rPr>
                <w:rFonts w:cs="Times New Roman"/>
                <w:sz w:val="20"/>
                <w:szCs w:val="20"/>
              </w:rPr>
              <w:t xml:space="preserve"> до 2020 года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</w:tr>
      <w:tr>
        <w:trPr>
          <w:trHeight w:val="1656" w:hRule="atLeast"/>
        </w:trPr>
        <w:tc>
          <w:tcPr>
            <w:tcW w:w="733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3.1.</w:t>
            </w:r>
          </w:p>
        </w:tc>
        <w:tc>
          <w:tcPr>
            <w:tcW w:w="2247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Осуществление мероприятий по предупреждению особо опасных болезней животных и управлению природно-очаговыми заболеваниями</w:t>
            </w:r>
          </w:p>
        </w:tc>
        <w:tc>
          <w:tcPr>
            <w:tcW w:w="137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прочие расходы</w:t>
            </w:r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2015-2020 годы</w:t>
            </w:r>
          </w:p>
        </w:tc>
        <w:tc>
          <w:tcPr>
            <w:tcW w:w="155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18"/>
                <w:szCs w:val="18"/>
              </w:rPr>
              <w:t>ГБУ НО «Госветуправление Шарангского района» (по согласованию)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</w:tr>
      <w:tr>
        <w:trPr>
          <w:trHeight w:val="1485" w:hRule="atLeast"/>
        </w:trPr>
        <w:tc>
          <w:tcPr>
            <w:tcW w:w="733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3.2.</w:t>
            </w:r>
          </w:p>
        </w:tc>
        <w:tc>
          <w:tcPr>
            <w:tcW w:w="2247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Осуществление мероприятий по снижению инфекционных болезней животных и снижению инвазионной заболеваемости животных</w:t>
            </w:r>
          </w:p>
        </w:tc>
        <w:tc>
          <w:tcPr>
            <w:tcW w:w="137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прочие расходы</w:t>
            </w:r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2015-2020 годы</w:t>
            </w:r>
          </w:p>
        </w:tc>
        <w:tc>
          <w:tcPr>
            <w:tcW w:w="155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18"/>
                <w:szCs w:val="18"/>
              </w:rPr>
              <w:t>ГБУ НО «Госветуправление Шарангского района (по согласованию)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</w:tr>
      <w:tr>
        <w:trPr>
          <w:trHeight w:val="315" w:hRule="atLeast"/>
        </w:trPr>
        <w:tc>
          <w:tcPr>
            <w:tcW w:w="7269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both"/>
              <w:rPr/>
            </w:pPr>
            <w:r>
              <w:rPr>
                <w:rFonts w:cs="Times New Roman"/>
                <w:bCs/>
                <w:sz w:val="20"/>
                <w:szCs w:val="20"/>
              </w:rPr>
              <w:t xml:space="preserve">Цель </w:t>
            </w:r>
            <w:r>
              <w:rPr>
                <w:rFonts w:cs="Times New Roman"/>
                <w:sz w:val="20"/>
                <w:szCs w:val="20"/>
              </w:rPr>
              <w:t>4. Обеспечение эффективности деятельности Управления сельского хозяйства администрации Шарангского муниципального района Нижегородской области в сфере развития агропромышленного комплекса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4 631,8</w:t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3 751,5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4 079,9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3 975,3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4 116,1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4 262,8</w:t>
            </w:r>
          </w:p>
        </w:tc>
        <w:tc>
          <w:tcPr>
            <w:tcW w:w="12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24 817,4</w:t>
            </w:r>
          </w:p>
        </w:tc>
      </w:tr>
      <w:tr>
        <w:trPr>
          <w:trHeight w:val="315" w:hRule="atLeast"/>
        </w:trPr>
        <w:tc>
          <w:tcPr>
            <w:tcW w:w="7269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both"/>
              <w:rPr/>
            </w:pPr>
            <w:r>
              <w:rPr>
                <w:rFonts w:cs="Times New Roman"/>
                <w:sz w:val="20"/>
                <w:szCs w:val="20"/>
              </w:rPr>
              <w:t xml:space="preserve">Подпрограмма </w:t>
            </w:r>
            <w:r>
              <w:rPr>
                <w:rFonts w:cs="Times New Roman"/>
                <w:bCs/>
                <w:sz w:val="20"/>
                <w:szCs w:val="20"/>
              </w:rPr>
              <w:t>«</w:t>
            </w:r>
            <w:r>
              <w:rPr>
                <w:rFonts w:cs="Times New Roman"/>
                <w:sz w:val="20"/>
                <w:szCs w:val="20"/>
              </w:rPr>
              <w:t>Обеспечение реализации Муниципальной программы</w:t>
            </w:r>
            <w:r>
              <w:rPr>
                <w:rFonts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4 631,8</w:t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3 751,5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4 079,9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3 975,3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4 116,1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4 262,8</w:t>
            </w:r>
          </w:p>
        </w:tc>
        <w:tc>
          <w:tcPr>
            <w:tcW w:w="12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24 817,4</w:t>
            </w:r>
          </w:p>
        </w:tc>
      </w:tr>
      <w:tr>
        <w:trPr>
          <w:trHeight w:val="318" w:hRule="atLeast"/>
        </w:trPr>
        <w:tc>
          <w:tcPr>
            <w:tcW w:w="733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4.1.</w:t>
            </w:r>
          </w:p>
        </w:tc>
        <w:tc>
          <w:tcPr>
            <w:tcW w:w="2247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Обеспечение выполнения целей, задач и показателей Муниципальной программы</w:t>
            </w:r>
          </w:p>
        </w:tc>
        <w:tc>
          <w:tcPr>
            <w:tcW w:w="137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прочие расходы</w:t>
            </w:r>
          </w:p>
        </w:tc>
        <w:tc>
          <w:tcPr>
            <w:tcW w:w="1356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2015-2020 годы</w:t>
            </w:r>
          </w:p>
        </w:tc>
        <w:tc>
          <w:tcPr>
            <w:tcW w:w="155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18"/>
                <w:szCs w:val="18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10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4 631,8</w:t>
            </w:r>
          </w:p>
        </w:tc>
        <w:tc>
          <w:tcPr>
            <w:tcW w:w="13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3 751,5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4 079,9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3 975,3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4 116,1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4 262,8</w:t>
            </w:r>
          </w:p>
        </w:tc>
        <w:tc>
          <w:tcPr>
            <w:tcW w:w="120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24 817,4</w:t>
            </w:r>
          </w:p>
        </w:tc>
      </w:tr>
    </w:tbl>
    <w:p>
      <w:pPr>
        <w:sectPr>
          <w:headerReference w:type="default" r:id="rId5"/>
          <w:type w:val="nextPage"/>
          <w:pgSz w:orient="landscape" w:w="16838" w:h="11906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  <w:pStyle w:val="Normal"/>
        <w:widowControl w:val="false"/>
        <w:numPr>
          <w:ilvl w:val="0"/>
          <w:numId w:val="0"/>
        </w:numPr>
        <w:spacing w:lineRule="auto" w:line="240" w:before="0" w:after="0"/>
        <w:ind w:left="0" w:right="0" w:hanging="0"/>
        <w:jc w:val="right"/>
        <w:outlineLvl w:val="2"/>
        <w:rPr/>
      </w:pPr>
      <w:r>
        <w:rPr>
          <w:rFonts w:cs="Times New Roman"/>
          <w:sz w:val="24"/>
          <w:szCs w:val="24"/>
        </w:rPr>
        <w:t>»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bidi w:val="0"/>
        <w:spacing w:lineRule="auto" w:line="240" w:before="0" w:after="0"/>
        <w:ind w:left="9298" w:right="0" w:hanging="0"/>
        <w:jc w:val="center"/>
        <w:outlineLvl w:val="2"/>
        <w:rPr/>
      </w:pPr>
      <w:r>
        <w:rPr>
          <w:rFonts w:cs="Times New Roman"/>
          <w:sz w:val="24"/>
          <w:szCs w:val="24"/>
        </w:rPr>
        <w:t xml:space="preserve">Приложение 2 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bidi w:val="0"/>
        <w:spacing w:lineRule="auto" w:line="240" w:before="0" w:after="0"/>
        <w:ind w:left="9298" w:right="0" w:hanging="0"/>
        <w:jc w:val="center"/>
        <w:outlineLvl w:val="2"/>
        <w:rPr/>
      </w:pPr>
      <w:r>
        <w:rPr>
          <w:rFonts w:cs="Times New Roman"/>
          <w:sz w:val="24"/>
          <w:szCs w:val="24"/>
        </w:rPr>
        <w:t xml:space="preserve">к постановлению администрации 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bidi w:val="0"/>
        <w:spacing w:lineRule="auto" w:line="240" w:before="0" w:after="0"/>
        <w:ind w:left="9298" w:right="0" w:hanging="0"/>
        <w:jc w:val="center"/>
        <w:outlineLvl w:val="2"/>
        <w:rPr/>
      </w:pPr>
      <w:r>
        <w:rPr>
          <w:rFonts w:cs="Times New Roman"/>
          <w:sz w:val="24"/>
          <w:szCs w:val="24"/>
        </w:rPr>
        <w:t>Шарангского муниципального района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bidi w:val="0"/>
        <w:spacing w:lineRule="auto" w:line="240" w:before="0" w:after="0"/>
        <w:ind w:left="9298" w:right="0" w:hanging="0"/>
        <w:jc w:val="center"/>
        <w:outlineLvl w:val="2"/>
        <w:rPr/>
      </w:pPr>
      <w:r>
        <w:rPr>
          <w:rFonts w:cs="Times New Roman"/>
          <w:sz w:val="24"/>
          <w:szCs w:val="24"/>
        </w:rPr>
        <w:t>от 26.03.2018г. № 150</w:t>
      </w:r>
    </w:p>
    <w:p>
      <w:pPr>
        <w:pStyle w:val="Normal"/>
        <w:widowControl w:val="false"/>
        <w:numPr>
          <w:ilvl w:val="0"/>
          <w:numId w:val="0"/>
        </w:numPr>
        <w:spacing w:lineRule="auto" w:line="240" w:before="0" w:after="0"/>
        <w:ind w:left="0" w:right="0" w:hanging="0"/>
        <w:jc w:val="right"/>
        <w:outlineLvl w:val="2"/>
        <w:rPr/>
      </w:pPr>
      <w:r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«Таблица 3</w:t>
      </w:r>
    </w:p>
    <w:p>
      <w:pPr>
        <w:pStyle w:val="Normal"/>
        <w:widowControl w:val="false"/>
        <w:numPr>
          <w:ilvl w:val="0"/>
          <w:numId w:val="0"/>
        </w:numPr>
        <w:spacing w:lineRule="auto" w:line="240" w:before="0" w:after="0"/>
        <w:ind w:left="0" w:right="0" w:hanging="0"/>
        <w:jc w:val="center"/>
        <w:outlineLvl w:val="2"/>
        <w:rPr/>
      </w:pPr>
      <w:r>
        <w:rPr>
          <w:rFonts w:cs="Times New Roman"/>
        </w:rPr>
        <w:t>Ресурсное обеспечение реализации Муниципальной программы за счет средств местного бюджета</w:t>
      </w:r>
    </w:p>
    <w:tbl>
      <w:tblPr>
        <w:tblW w:w="15676" w:type="dxa"/>
        <w:jc w:val="center"/>
        <w:tblInd w:w="0" w:type="dxa"/>
        <w:tblBorders>
          <w:top w:val="single" w:sz="4" w:space="0" w:color="00000A"/>
          <w:left w:val="single" w:sz="4" w:space="0" w:color="00000A"/>
          <w:right w:val="single" w:sz="4" w:space="0" w:color="00000A"/>
          <w:insideV w:val="single" w:sz="4" w:space="0" w:color="00000A"/>
        </w:tblBorders>
        <w:tblCellMar>
          <w:top w:w="0" w:type="dxa"/>
          <w:left w:w="103" w:type="dxa"/>
          <w:bottom w:w="0" w:type="dxa"/>
          <w:right w:w="108" w:type="dxa"/>
        </w:tblCellMar>
        <w:tblLook w:val="0000"/>
      </w:tblPr>
      <w:tblGrid>
        <w:gridCol w:w="2067"/>
        <w:gridCol w:w="3309"/>
        <w:gridCol w:w="2499"/>
        <w:gridCol w:w="1317"/>
        <w:gridCol w:w="1296"/>
        <w:gridCol w:w="1298"/>
        <w:gridCol w:w="1297"/>
        <w:gridCol w:w="1298"/>
        <w:gridCol w:w="1293"/>
      </w:tblGrid>
      <w:tr>
        <w:trPr>
          <w:tblHeader w:val="true"/>
          <w:trHeight w:val="212" w:hRule="atLeast"/>
        </w:trPr>
        <w:tc>
          <w:tcPr>
            <w:tcW w:w="2067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Статус</w:t>
            </w:r>
          </w:p>
        </w:tc>
        <w:tc>
          <w:tcPr>
            <w:tcW w:w="3309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Подпрограмма муниципальной программы</w:t>
            </w:r>
          </w:p>
        </w:tc>
        <w:tc>
          <w:tcPr>
            <w:tcW w:w="2499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Муниципальный заказчик- координатор, соисполнители</w:t>
            </w:r>
          </w:p>
        </w:tc>
        <w:tc>
          <w:tcPr>
            <w:tcW w:w="7799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</w:rPr>
              <w:t>Расходы (тыс. руб.)</w:t>
            </w:r>
          </w:p>
        </w:tc>
      </w:tr>
      <w:tr>
        <w:trPr>
          <w:tblHeader w:val="true"/>
          <w:trHeight w:val="355" w:hRule="atLeast"/>
        </w:trPr>
        <w:tc>
          <w:tcPr>
            <w:tcW w:w="2067" w:type="dxa"/>
            <w:vMerge w:val="continue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309" w:type="dxa"/>
            <w:vMerge w:val="continue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499" w:type="dxa"/>
            <w:vMerge w:val="continue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3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</w:rPr>
              <w:t>2015 год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</w:rPr>
              <w:t>2016 год</w:t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</w:rPr>
              <w:t>2017 год</w:t>
            </w:r>
          </w:p>
        </w:tc>
        <w:tc>
          <w:tcPr>
            <w:tcW w:w="12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</w:rPr>
              <w:t>2018 год</w:t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</w:rPr>
              <w:t>2019 год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</w:rPr>
              <w:t>2020 год</w:t>
            </w:r>
          </w:p>
        </w:tc>
      </w:tr>
      <w:tr>
        <w:trPr>
          <w:tblHeader w:val="true"/>
          <w:trHeight w:val="237" w:hRule="atLeast"/>
        </w:trPr>
        <w:tc>
          <w:tcPr>
            <w:tcW w:w="2067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330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249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3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</w:rPr>
              <w:t>4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</w:rPr>
              <w:t>5</w:t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</w:rPr>
              <w:t>6</w:t>
            </w:r>
          </w:p>
        </w:tc>
        <w:tc>
          <w:tcPr>
            <w:tcW w:w="12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</w:rPr>
              <w:t>7</w:t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</w:rPr>
              <w:t>8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</w:rPr>
              <w:t>9</w:t>
            </w:r>
          </w:p>
        </w:tc>
      </w:tr>
      <w:tr>
        <w:trPr>
          <w:trHeight w:val="255" w:hRule="atLeast"/>
        </w:trPr>
        <w:tc>
          <w:tcPr>
            <w:tcW w:w="2067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 xml:space="preserve">Муниципальная программа </w:t>
            </w:r>
          </w:p>
        </w:tc>
        <w:tc>
          <w:tcPr>
            <w:tcW w:w="3309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bCs/>
                <w:sz w:val="20"/>
                <w:szCs w:val="20"/>
              </w:rPr>
              <w:t xml:space="preserve">«Развитие агропромышленного комплекса Шарангского муниципального района Нижегородской области» </w:t>
            </w:r>
          </w:p>
        </w:tc>
        <w:tc>
          <w:tcPr>
            <w:tcW w:w="249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13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627,3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585,7</w:t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381,1</w:t>
            </w:r>
          </w:p>
        </w:tc>
        <w:tc>
          <w:tcPr>
            <w:tcW w:w="12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481,2</w:t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327,2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304,9</w:t>
            </w:r>
          </w:p>
        </w:tc>
      </w:tr>
      <w:tr>
        <w:trPr>
          <w:trHeight w:val="630" w:hRule="atLeast"/>
        </w:trPr>
        <w:tc>
          <w:tcPr>
            <w:tcW w:w="2067" w:type="dxa"/>
            <w:vMerge w:val="continue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309" w:type="dxa"/>
            <w:vMerge w:val="continue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49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 xml:space="preserve">Муниципальный заказчик-координатор Администрация </w:t>
            </w:r>
          </w:p>
        </w:tc>
        <w:tc>
          <w:tcPr>
            <w:tcW w:w="13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627,3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585,7</w:t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381,1</w:t>
            </w:r>
          </w:p>
        </w:tc>
        <w:tc>
          <w:tcPr>
            <w:tcW w:w="12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481,2</w:t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327,2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304,9</w:t>
            </w:r>
          </w:p>
        </w:tc>
      </w:tr>
      <w:tr>
        <w:trPr>
          <w:trHeight w:val="805" w:hRule="atLeast"/>
        </w:trPr>
        <w:tc>
          <w:tcPr>
            <w:tcW w:w="2067" w:type="dxa"/>
            <w:vMerge w:val="continue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309" w:type="dxa"/>
            <w:vMerge w:val="continue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49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Исполнитель Программы – Управление сельского хозяйства</w:t>
            </w:r>
          </w:p>
        </w:tc>
        <w:tc>
          <w:tcPr>
            <w:tcW w:w="13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627,3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585,7</w:t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381,1</w:t>
            </w:r>
          </w:p>
        </w:tc>
        <w:tc>
          <w:tcPr>
            <w:tcW w:w="12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481,2</w:t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327,2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304,9</w:t>
            </w:r>
          </w:p>
        </w:tc>
      </w:tr>
      <w:tr>
        <w:trPr>
          <w:trHeight w:val="358" w:hRule="atLeast"/>
        </w:trPr>
        <w:tc>
          <w:tcPr>
            <w:tcW w:w="206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309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49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Соисполнитель 1 ГБУ НО «Госветуправление Шарангского района» (по согласованию)</w:t>
            </w:r>
          </w:p>
        </w:tc>
        <w:tc>
          <w:tcPr>
            <w:tcW w:w="13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64" w:hRule="atLeast"/>
        </w:trPr>
        <w:tc>
          <w:tcPr>
            <w:tcW w:w="206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Подпрограмма 1</w:t>
            </w:r>
          </w:p>
        </w:tc>
        <w:tc>
          <w:tcPr>
            <w:tcW w:w="330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bCs/>
                <w:sz w:val="20"/>
                <w:szCs w:val="20"/>
              </w:rPr>
              <w:t>«</w:t>
            </w:r>
            <w:r>
              <w:rPr>
                <w:rFonts w:cs="Times New Roman"/>
                <w:sz w:val="20"/>
                <w:szCs w:val="20"/>
              </w:rPr>
              <w:t>Развитие сельского хозяйства, пищевой и перерабатывающей промышленности Шарангского муниципального района Нижегородской области</w:t>
            </w:r>
            <w:r>
              <w:rPr>
                <w:rFonts w:cs="Times New Roman"/>
                <w:bCs/>
                <w:sz w:val="20"/>
                <w:szCs w:val="20"/>
              </w:rPr>
              <w:t>»</w:t>
            </w:r>
            <w:r>
              <w:rPr>
                <w:rFonts w:cs="Times New Roman"/>
                <w:sz w:val="20"/>
                <w:szCs w:val="20"/>
              </w:rPr>
              <w:t xml:space="preserve"> до 2020 года</w:t>
            </w:r>
          </w:p>
        </w:tc>
        <w:tc>
          <w:tcPr>
            <w:tcW w:w="249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13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627,3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585,7</w:t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381,1</w:t>
            </w:r>
          </w:p>
        </w:tc>
        <w:tc>
          <w:tcPr>
            <w:tcW w:w="12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481,2</w:t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327,2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304,9</w:t>
            </w:r>
          </w:p>
        </w:tc>
      </w:tr>
      <w:tr>
        <w:trPr>
          <w:trHeight w:val="318" w:hRule="atLeast"/>
        </w:trPr>
        <w:tc>
          <w:tcPr>
            <w:tcW w:w="206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309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49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 xml:space="preserve">Муниципальный заказчик-координатор Администрация </w:t>
            </w:r>
          </w:p>
        </w:tc>
        <w:tc>
          <w:tcPr>
            <w:tcW w:w="13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627,3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585,7</w:t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381,1</w:t>
            </w:r>
          </w:p>
        </w:tc>
        <w:tc>
          <w:tcPr>
            <w:tcW w:w="12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481,2</w:t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327,2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304,9</w:t>
            </w:r>
          </w:p>
        </w:tc>
      </w:tr>
      <w:tr>
        <w:trPr>
          <w:trHeight w:val="318" w:hRule="atLeast"/>
        </w:trPr>
        <w:tc>
          <w:tcPr>
            <w:tcW w:w="206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309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49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Исполнитель Программы – Управление сельского хозяйства</w:t>
            </w:r>
          </w:p>
        </w:tc>
        <w:tc>
          <w:tcPr>
            <w:tcW w:w="13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627,3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585,7</w:t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381,1</w:t>
            </w:r>
          </w:p>
        </w:tc>
        <w:tc>
          <w:tcPr>
            <w:tcW w:w="12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481,2</w:t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327,2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304,9</w:t>
            </w:r>
          </w:p>
        </w:tc>
      </w:tr>
      <w:tr>
        <w:trPr>
          <w:trHeight w:val="214" w:hRule="atLeast"/>
        </w:trPr>
        <w:tc>
          <w:tcPr>
            <w:tcW w:w="206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Подпрограмма 2</w:t>
            </w:r>
          </w:p>
        </w:tc>
        <w:tc>
          <w:tcPr>
            <w:tcW w:w="330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bCs/>
                <w:sz w:val="20"/>
                <w:szCs w:val="20"/>
              </w:rPr>
              <w:t>«</w:t>
            </w:r>
            <w:r>
              <w:rPr>
                <w:rFonts w:cs="Times New Roman"/>
                <w:sz w:val="20"/>
                <w:szCs w:val="20"/>
              </w:rPr>
              <w:t>Устойчивое развитие сельских территорий Шарангского муниципального района Нижегородской области</w:t>
            </w:r>
            <w:r>
              <w:rPr>
                <w:rFonts w:cs="Times New Roman"/>
                <w:bCs/>
                <w:sz w:val="20"/>
                <w:szCs w:val="20"/>
              </w:rPr>
              <w:t>»</w:t>
            </w:r>
            <w:r>
              <w:rPr>
                <w:rFonts w:cs="Times New Roman"/>
                <w:sz w:val="20"/>
                <w:szCs w:val="20"/>
              </w:rPr>
              <w:t xml:space="preserve"> до 2020 года</w:t>
            </w:r>
          </w:p>
        </w:tc>
        <w:tc>
          <w:tcPr>
            <w:tcW w:w="249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13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206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309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49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 xml:space="preserve">Муниципальный заказчик-координатор Администрация </w:t>
            </w:r>
          </w:p>
        </w:tc>
        <w:tc>
          <w:tcPr>
            <w:tcW w:w="13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206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309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49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Исполнитель Программы – Управление сельского хозяйства</w:t>
            </w:r>
          </w:p>
        </w:tc>
        <w:tc>
          <w:tcPr>
            <w:tcW w:w="13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</w:rPr>
              <w:t> </w:t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</w:rPr>
              <w:t> 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</w:rPr>
              <w:t> </w:t>
            </w:r>
          </w:p>
        </w:tc>
      </w:tr>
      <w:tr>
        <w:trPr>
          <w:trHeight w:val="318" w:hRule="atLeast"/>
        </w:trPr>
        <w:tc>
          <w:tcPr>
            <w:tcW w:w="2067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Подпрограмма 3</w:t>
            </w:r>
          </w:p>
        </w:tc>
        <w:tc>
          <w:tcPr>
            <w:tcW w:w="3309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bCs/>
                <w:sz w:val="20"/>
                <w:szCs w:val="20"/>
              </w:rPr>
              <w:t>«</w:t>
            </w:r>
            <w:r>
              <w:rPr>
                <w:rFonts w:cs="Times New Roman"/>
                <w:sz w:val="20"/>
                <w:szCs w:val="20"/>
              </w:rPr>
              <w:t>Эпизоотическое благополучие Шарангского муниципального района Нижегородской области</w:t>
            </w:r>
            <w:r>
              <w:rPr>
                <w:rFonts w:cs="Times New Roman"/>
                <w:bCs/>
                <w:sz w:val="20"/>
                <w:szCs w:val="20"/>
              </w:rPr>
              <w:t xml:space="preserve">» </w:t>
            </w:r>
            <w:r>
              <w:rPr>
                <w:rFonts w:cs="Times New Roman"/>
                <w:sz w:val="20"/>
                <w:szCs w:val="20"/>
              </w:rPr>
              <w:t>до 2020 года</w:t>
            </w:r>
          </w:p>
        </w:tc>
        <w:tc>
          <w:tcPr>
            <w:tcW w:w="249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13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</w:tr>
      <w:tr>
        <w:trPr>
          <w:trHeight w:val="318" w:hRule="atLeast"/>
        </w:trPr>
        <w:tc>
          <w:tcPr>
            <w:tcW w:w="2067" w:type="dxa"/>
            <w:vMerge w:val="continue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309" w:type="dxa"/>
            <w:vMerge w:val="continue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49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 xml:space="preserve">Муниципальный заказчик-координатор Администрация </w:t>
            </w:r>
          </w:p>
        </w:tc>
        <w:tc>
          <w:tcPr>
            <w:tcW w:w="13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</w:tr>
      <w:tr>
        <w:trPr>
          <w:trHeight w:val="318" w:hRule="atLeast"/>
        </w:trPr>
        <w:tc>
          <w:tcPr>
            <w:tcW w:w="2067" w:type="dxa"/>
            <w:vMerge w:val="continue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309" w:type="dxa"/>
            <w:vMerge w:val="continue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49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Исполнитель Программы – ГБУ НО «Госветуправление Шарангского района» (по согласованию)</w:t>
            </w:r>
          </w:p>
        </w:tc>
        <w:tc>
          <w:tcPr>
            <w:tcW w:w="13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</w:tr>
      <w:tr>
        <w:trPr>
          <w:trHeight w:val="318" w:hRule="atLeast"/>
        </w:trPr>
        <w:tc>
          <w:tcPr>
            <w:tcW w:w="206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Подпрограмма 4</w:t>
            </w:r>
          </w:p>
        </w:tc>
        <w:tc>
          <w:tcPr>
            <w:tcW w:w="330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bCs/>
                <w:sz w:val="20"/>
                <w:szCs w:val="20"/>
              </w:rPr>
              <w:t>«</w:t>
            </w:r>
            <w:r>
              <w:rPr>
                <w:rFonts w:cs="Times New Roman"/>
                <w:sz w:val="20"/>
                <w:szCs w:val="20"/>
              </w:rPr>
              <w:t>Обеспечение реализации муниципальной программы</w:t>
            </w:r>
            <w:r>
              <w:rPr>
                <w:rFonts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249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13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</w:tr>
      <w:tr>
        <w:trPr>
          <w:trHeight w:val="318" w:hRule="atLeast"/>
        </w:trPr>
        <w:tc>
          <w:tcPr>
            <w:tcW w:w="206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309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49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 xml:space="preserve">Муниципальный заказчик-координатор Администрация </w:t>
            </w:r>
          </w:p>
        </w:tc>
        <w:tc>
          <w:tcPr>
            <w:tcW w:w="13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</w:tr>
      <w:tr>
        <w:trPr>
          <w:trHeight w:val="318" w:hRule="atLeast"/>
        </w:trPr>
        <w:tc>
          <w:tcPr>
            <w:tcW w:w="206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309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49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  <w:insideH w:val="single" w:sz="4" w:space="0" w:color="000001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Исполнитель Программы – Управление сельского хозяйства</w:t>
            </w:r>
          </w:p>
        </w:tc>
        <w:tc>
          <w:tcPr>
            <w:tcW w:w="13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</w:tr>
    </w:tbl>
    <w:p>
      <w:pPr>
        <w:pStyle w:val="Style29"/>
        <w:spacing w:lineRule="auto" w:line="240" w:before="0" w:after="0"/>
        <w:ind w:left="0" w:right="0" w:hanging="0"/>
        <w:jc w:val="both"/>
        <w:rPr/>
      </w:pPr>
      <w:bookmarkStart w:id="2" w:name="Par265"/>
      <w:bookmarkEnd w:id="2"/>
      <w:r>
        <w:rPr/>
        <w:t>- под обеспечением реализации Муниципальной программы понимается деятельность, не направленная на реализацию основных мероприятий подпрограмм. В Подпрограмму включены расходы, направленные на обеспечение создания условий для реализации Муниципальной программы ».</w:t>
      </w:r>
    </w:p>
    <w:p>
      <w:pPr>
        <w:sectPr>
          <w:headerReference w:type="default" r:id="rId6"/>
          <w:type w:val="nextPage"/>
          <w:pgSz w:orient="landscape" w:w="16838" w:h="11906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  <w:pStyle w:val="Normal"/>
        <w:widowControl w:val="false"/>
        <w:numPr>
          <w:ilvl w:val="0"/>
          <w:numId w:val="0"/>
        </w:numPr>
        <w:spacing w:lineRule="auto" w:line="240" w:before="0" w:after="0"/>
        <w:ind w:left="0" w:right="0" w:hanging="0"/>
        <w:jc w:val="right"/>
        <w:outlineLvl w:val="2"/>
        <w:rPr>
          <w:rFonts w:ascii="Times New Roman" w:hAnsi="Times New Roman" w:cs="Times New Roman"/>
          <w:color w:val="0070C0"/>
          <w:sz w:val="24"/>
          <w:szCs w:val="24"/>
        </w:rPr>
      </w:pPr>
      <w:r>
        <w:rPr>
          <w:rFonts w:cs="Times New Roman"/>
          <w:color w:val="0070C0"/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bidi w:val="0"/>
        <w:spacing w:lineRule="auto" w:line="240" w:before="0" w:after="0"/>
        <w:ind w:left="9298" w:right="0" w:hanging="0"/>
        <w:jc w:val="center"/>
        <w:outlineLvl w:val="2"/>
        <w:rPr/>
      </w:pPr>
      <w:r>
        <w:rPr>
          <w:rFonts w:cs="Times New Roman"/>
          <w:sz w:val="24"/>
          <w:szCs w:val="24"/>
        </w:rPr>
        <w:t xml:space="preserve">Приложение 3 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bidi w:val="0"/>
        <w:spacing w:lineRule="auto" w:line="240" w:before="0" w:after="0"/>
        <w:ind w:left="9298" w:right="0" w:hanging="0"/>
        <w:jc w:val="center"/>
        <w:outlineLvl w:val="2"/>
        <w:rPr/>
      </w:pPr>
      <w:r>
        <w:rPr>
          <w:rFonts w:cs="Times New Roman"/>
          <w:sz w:val="24"/>
          <w:szCs w:val="24"/>
        </w:rPr>
        <w:t xml:space="preserve">к постановлению администрации 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bidi w:val="0"/>
        <w:spacing w:lineRule="auto" w:line="240" w:before="0" w:after="0"/>
        <w:ind w:left="9298" w:right="0" w:hanging="0"/>
        <w:jc w:val="center"/>
        <w:outlineLvl w:val="2"/>
        <w:rPr/>
      </w:pPr>
      <w:r>
        <w:rPr>
          <w:rFonts w:cs="Times New Roman"/>
          <w:sz w:val="24"/>
          <w:szCs w:val="24"/>
        </w:rPr>
        <w:t>Шарангского муниципального района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bidi w:val="0"/>
        <w:spacing w:lineRule="auto" w:line="240" w:before="0" w:after="0"/>
        <w:ind w:left="9298" w:right="0" w:hanging="0"/>
        <w:jc w:val="center"/>
        <w:outlineLvl w:val="2"/>
        <w:rPr/>
      </w:pPr>
      <w:r>
        <w:rPr>
          <w:rFonts w:cs="Times New Roman"/>
          <w:sz w:val="24"/>
          <w:szCs w:val="24"/>
        </w:rPr>
        <w:t>от 26.03.2018г. № 150</w:t>
      </w:r>
    </w:p>
    <w:p>
      <w:pPr>
        <w:pStyle w:val="Normal"/>
        <w:widowControl w:val="false"/>
        <w:numPr>
          <w:ilvl w:val="0"/>
          <w:numId w:val="0"/>
        </w:numPr>
        <w:spacing w:lineRule="auto" w:line="240" w:before="0" w:after="0"/>
        <w:ind w:left="0" w:right="0" w:hanging="0"/>
        <w:jc w:val="right"/>
        <w:outlineLvl w:val="2"/>
        <w:rPr/>
      </w:pPr>
      <w:r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«Таблица 4</w:t>
      </w:r>
    </w:p>
    <w:p>
      <w:pPr>
        <w:pStyle w:val="Style29"/>
        <w:spacing w:lineRule="auto" w:line="240" w:before="0" w:after="0"/>
        <w:ind w:left="0" w:right="0" w:hanging="0"/>
        <w:jc w:val="right"/>
        <w:rPr/>
      </w:pPr>
      <w:r>
        <w:rPr/>
      </w:r>
    </w:p>
    <w:p>
      <w:pPr>
        <w:pStyle w:val="Normal"/>
        <w:widowControl w:val="false"/>
        <w:numPr>
          <w:ilvl w:val="0"/>
          <w:numId w:val="0"/>
        </w:numPr>
        <w:spacing w:lineRule="auto" w:line="240" w:before="0" w:after="0"/>
        <w:ind w:left="0" w:right="0" w:hanging="0"/>
        <w:jc w:val="center"/>
        <w:outlineLvl w:val="2"/>
        <w:rPr/>
      </w:pPr>
      <w:r>
        <w:rPr>
          <w:rFonts w:cs="Times New Roman"/>
        </w:rPr>
        <w:t>Прогнозная оценка расходов на реализацию Муниципальной программы за счет всех источников</w:t>
      </w:r>
    </w:p>
    <w:tbl>
      <w:tblPr>
        <w:tblW w:w="15598" w:type="dxa"/>
        <w:jc w:val="center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1687"/>
        <w:gridCol w:w="2558"/>
        <w:gridCol w:w="3405"/>
        <w:gridCol w:w="1039"/>
        <w:gridCol w:w="1409"/>
        <w:gridCol w:w="1410"/>
        <w:gridCol w:w="1408"/>
        <w:gridCol w:w="1409"/>
        <w:gridCol w:w="1271"/>
      </w:tblGrid>
      <w:tr>
        <w:trPr>
          <w:tblHeader w:val="true"/>
          <w:trHeight w:val="300" w:hRule="atLeast"/>
        </w:trPr>
        <w:tc>
          <w:tcPr>
            <w:tcW w:w="168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Статус</w:t>
            </w:r>
          </w:p>
        </w:tc>
        <w:tc>
          <w:tcPr>
            <w:tcW w:w="2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 xml:space="preserve">Наименование </w:t>
            </w:r>
          </w:p>
        </w:tc>
        <w:tc>
          <w:tcPr>
            <w:tcW w:w="3405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Источники финансирования</w:t>
            </w:r>
          </w:p>
        </w:tc>
        <w:tc>
          <w:tcPr>
            <w:tcW w:w="7946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Оценка расходов (тыс. руб.)</w:t>
            </w:r>
          </w:p>
        </w:tc>
      </w:tr>
      <w:tr>
        <w:trPr>
          <w:tblHeader w:val="true"/>
          <w:trHeight w:val="300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2015 год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2016 год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2017 год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2018 год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2019 год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2020 год</w:t>
            </w:r>
          </w:p>
        </w:tc>
      </w:tr>
      <w:tr>
        <w:trPr>
          <w:tblHeader w:val="true"/>
          <w:trHeight w:val="145" w:hRule="atLeast"/>
        </w:trPr>
        <w:tc>
          <w:tcPr>
            <w:tcW w:w="1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16"/>
                <w:szCs w:val="16"/>
              </w:rPr>
              <w:t>1</w:t>
            </w:r>
          </w:p>
        </w:tc>
        <w:tc>
          <w:tcPr>
            <w:tcW w:w="2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16"/>
                <w:szCs w:val="16"/>
              </w:rPr>
              <w:t>2</w:t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16"/>
                <w:szCs w:val="16"/>
              </w:rPr>
              <w:t>3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16"/>
                <w:szCs w:val="16"/>
              </w:rPr>
              <w:t>4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16"/>
                <w:szCs w:val="16"/>
              </w:rPr>
              <w:t>5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16"/>
                <w:szCs w:val="16"/>
              </w:rPr>
              <w:t>6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16"/>
                <w:szCs w:val="16"/>
              </w:rPr>
              <w:t>7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16"/>
                <w:szCs w:val="16"/>
              </w:rPr>
              <w:t>8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16"/>
                <w:szCs w:val="16"/>
              </w:rPr>
              <w:t>9</w:t>
            </w:r>
          </w:p>
        </w:tc>
      </w:tr>
      <w:tr>
        <w:trPr>
          <w:trHeight w:val="268" w:hRule="atLeast"/>
        </w:trPr>
        <w:tc>
          <w:tcPr>
            <w:tcW w:w="168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 xml:space="preserve">Муниципальная программа </w:t>
            </w:r>
          </w:p>
        </w:tc>
        <w:tc>
          <w:tcPr>
            <w:tcW w:w="2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bCs/>
                <w:sz w:val="20"/>
                <w:szCs w:val="20"/>
              </w:rPr>
              <w:t>«</w:t>
            </w:r>
            <w:r>
              <w:rPr>
                <w:rFonts w:cs="Times New Roman"/>
                <w:sz w:val="20"/>
                <w:szCs w:val="20"/>
              </w:rPr>
              <w:t>Развитие агропромышленного комплекса Шарангского муниципального района Нижегородской области</w:t>
            </w:r>
            <w:r>
              <w:rPr>
                <w:rFonts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Всего, в т.ч.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24 391,7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21 227,3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44 654,3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51 678,3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23 057,1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31 755,1</w:t>
            </w:r>
          </w:p>
        </w:tc>
      </w:tr>
      <w:tr>
        <w:trPr>
          <w:trHeight w:val="26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местного бюджета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627,3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585,7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381,1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481,2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327,2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304,9</w:t>
            </w:r>
          </w:p>
        </w:tc>
      </w:tr>
      <w:tr>
        <w:trPr>
          <w:trHeight w:val="195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/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12 403,5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10 709,1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35 240,0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41 540,7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11 541,6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20 275,2</w:t>
            </w:r>
          </w:p>
        </w:tc>
      </w:tr>
      <w:tr>
        <w:trPr>
          <w:trHeight w:val="105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федеральный бюджет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****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11 360,9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9 932,5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9 033,2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9 656,4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11 188,3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11 175,0</w:t>
            </w:r>
          </w:p>
        </w:tc>
      </w:tr>
      <w:tr>
        <w:trPr>
          <w:trHeight w:val="339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юридические лица и индивидуальные предприниматели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453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80" w:hRule="atLeast"/>
        </w:trPr>
        <w:tc>
          <w:tcPr>
            <w:tcW w:w="168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Подпрограмма 1</w:t>
            </w:r>
          </w:p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bCs/>
                <w:sz w:val="20"/>
                <w:szCs w:val="20"/>
              </w:rPr>
              <w:t>«</w:t>
            </w:r>
            <w:r>
              <w:rPr>
                <w:rFonts w:cs="Times New Roman"/>
                <w:sz w:val="20"/>
                <w:szCs w:val="20"/>
              </w:rPr>
              <w:t>Развитие сельского хозяйства, пищевой и перерабатывающей промышленности Шарангского муниципального района Нижегородской области</w:t>
            </w:r>
            <w:r>
              <w:rPr>
                <w:rFonts w:cs="Times New Roman"/>
                <w:bCs/>
                <w:sz w:val="20"/>
                <w:szCs w:val="20"/>
              </w:rPr>
              <w:t>»</w:t>
            </w:r>
            <w:r>
              <w:rPr>
                <w:rFonts w:cs="Times New Roman"/>
                <w:sz w:val="20"/>
                <w:szCs w:val="20"/>
              </w:rPr>
              <w:t xml:space="preserve"> до 2020 года</w:t>
            </w:r>
          </w:p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Всего, в т.ч.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19 759,9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17 475,8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40 574,4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47 703,0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18 941,0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27 492,3</w:t>
            </w:r>
          </w:p>
        </w:tc>
      </w:tr>
      <w:tr>
        <w:trPr>
          <w:trHeight w:val="121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местного бюджета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627,3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585,7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381,1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481,2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327,2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304,9</w:t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/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7 771,7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6 957,6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31 160,1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37 565,4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7 425,5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16 012,4</w:t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федеральный бюджет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****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11 360,9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9 932,5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9 033,2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9 656,4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11 188,3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11 175,0</w:t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юридические лица и индивидуальные предприниматели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226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16" w:hRule="atLeast"/>
        </w:trPr>
        <w:tc>
          <w:tcPr>
            <w:tcW w:w="168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Основное мероприятие 1.1</w:t>
            </w:r>
          </w:p>
        </w:tc>
        <w:tc>
          <w:tcPr>
            <w:tcW w:w="2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Всего, в т.ч.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11 847,6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11 986,4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12 546,5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10 423,0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11 971,4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15 922,7</w:t>
            </w:r>
          </w:p>
        </w:tc>
      </w:tr>
      <w:tr>
        <w:trPr>
          <w:trHeight w:val="23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местного бюджета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80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/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3 154,3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5 176,0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5 576,2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2 857,5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2 857,5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6 808,8</w:t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федеральный бюджет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****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8 693,3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6 810,4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6 970,3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7 565,5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9 113,9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9 113,9</w:t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юридические лица и индивидуальные предприниматели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6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Основное мероприятие 1.2</w:t>
            </w:r>
          </w:p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Развитие производства продукции животноводства (субсидирование части затрат)</w:t>
            </w:r>
          </w:p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Всего, в т.ч.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6 573,0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4 514,3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27 178,2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34 759,4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6 092,7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10 058,8</w:t>
            </w:r>
          </w:p>
        </w:tc>
      </w:tr>
      <w:tr>
        <w:trPr>
          <w:trHeight w:val="193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местного бюджета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36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/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4 432,4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1 694,2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25 261,7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32 751,0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4 084,3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8 050,4</w:t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федеральный бюджет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****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2 140,6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2 820,1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1 916,5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2 008,4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2 008,4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2 008,4</w:t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юридические лица и индивидуальные предприниматели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04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88" w:hRule="atLeast"/>
        </w:trPr>
        <w:tc>
          <w:tcPr>
            <w:tcW w:w="168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Основное мероприятие 1.3</w:t>
            </w:r>
          </w:p>
        </w:tc>
        <w:tc>
          <w:tcPr>
            <w:tcW w:w="2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Возмещение части затрат организаций агропромышленного комплекса на уплату процентов за пользование кредитными ресурсами</w:t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Всего, в т.ч.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712,0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389,4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218,6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123,8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99,0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79,1</w:t>
            </w:r>
          </w:p>
        </w:tc>
      </w:tr>
      <w:tr>
        <w:trPr>
          <w:trHeight w:val="129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местного бюджета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/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185,0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87,4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72,2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41,3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33,0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26,4</w:t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color w:val="0070C0"/>
                <w:sz w:val="20"/>
                <w:szCs w:val="20"/>
              </w:rPr>
            </w:pPr>
            <w:r>
              <w:rPr>
                <w:rFonts w:cs="Times New Roman"/>
                <w:bCs/>
                <w:color w:val="0070C0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федеральный бюджет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****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527,0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302,0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146,4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82,5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66,0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52,7</w:t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юридические лица и индивидуальные предприниматели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220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Основное мероприятие 1.4</w:t>
            </w:r>
          </w:p>
        </w:tc>
        <w:tc>
          <w:tcPr>
            <w:tcW w:w="2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Предоставление средств на поддержку начинающих фермеров и развитие семейных животноводческих ферм на базе крестьянских (фермерских) хозяйств</w:t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Всего, в т.ч.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46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местного бюджета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/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федеральный бюджет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****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юридические лица и индивидуальные предприниматели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42" w:hRule="atLeast"/>
        </w:trPr>
        <w:tc>
          <w:tcPr>
            <w:tcW w:w="168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Основное мероприятие 1.5</w:t>
            </w:r>
          </w:p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Управление рисками в сельскохозяйственном производстве (субсидирование части затрат)</w:t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Всего, в т.ч.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местного бюджета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206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/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федеральный бюджет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****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юридические лица и индивидуальные предприниматели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09" w:hRule="atLeast"/>
        </w:trPr>
        <w:tc>
          <w:tcPr>
            <w:tcW w:w="168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Основное мероприятие 1.6</w:t>
            </w:r>
          </w:p>
        </w:tc>
        <w:tc>
          <w:tcPr>
            <w:tcW w:w="2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Финансовое оздоровление сельскохозяйственных товаропроизводителей (предоставление средств на погашение реструктурированных долгов перед бюджетами всех уровней и государственными внебюджетными фондами)</w:t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Всего, в т.ч.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232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местного бюджета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74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/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федеральный бюджет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****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юридические лица и индивидуальные предприниматели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56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225" w:hRule="atLeast"/>
        </w:trPr>
        <w:tc>
          <w:tcPr>
            <w:tcW w:w="168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Основное мероприятие 1.7</w:t>
            </w:r>
          </w:p>
        </w:tc>
        <w:tc>
          <w:tcPr>
            <w:tcW w:w="2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Приобретение и переоформление прав на земельные участки из земель сельскохозяйственного назначения (субсидирование части затрат)</w:t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Всего, в т.ч.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6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местного бюджета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10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/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федеральный бюджет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****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юридические лица и индивидуальные предприниматели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48" w:hRule="atLeast"/>
        </w:trPr>
        <w:tc>
          <w:tcPr>
            <w:tcW w:w="168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Основное мероприятие 1.8</w:t>
            </w:r>
          </w:p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Повышение заинтересованности в распространении передового опыта в агропромышленном комплексе и улучшении результатов деятельности по производству, переработке и хранению сельскохозяйственной продукции, оказанию услуг и выполнению работ для сельскохозяйственных организаций (проведение конкурсов, слетов, выставок и других мероприятий)</w:t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Всего, в т.ч.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03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местного бюджета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226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/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федеральный бюджет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****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юридические лица и индивидуальные предприниматели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71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Основное мероприятие 1.9</w:t>
            </w:r>
          </w:p>
        </w:tc>
        <w:tc>
          <w:tcPr>
            <w:tcW w:w="2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Обновление парка сельскохозяйственной техники (субсидирование части затрат)</w:t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Всего, в т.ч.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250,0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1 915,6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450,7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1 126,8</w:t>
            </w:r>
          </w:p>
        </w:tc>
      </w:tr>
      <w:tr>
        <w:trPr>
          <w:trHeight w:val="177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местного бюджета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20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/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250,0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1 915,6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450,7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1 126,8</w:t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федеральный бюджет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****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юридические лица и индивидуальные предприниматели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02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48" w:hRule="atLeast"/>
        </w:trPr>
        <w:tc>
          <w:tcPr>
            <w:tcW w:w="168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Основное мероприятие 1.10</w:t>
            </w:r>
          </w:p>
        </w:tc>
        <w:tc>
          <w:tcPr>
            <w:tcW w:w="2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Реализация мер государственной поддержки кадрового потенциала АПК</w:t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Всего, в т.ч.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местного бюджета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/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федеральный бюджет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****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юридические лица и индивидуальные предприниматели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53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Основное мероприятие 1.11</w:t>
            </w:r>
          </w:p>
        </w:tc>
        <w:tc>
          <w:tcPr>
            <w:tcW w:w="2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Финансовая поддержка сельскохозяйственных предприятий Шарангского муниципального района на уплату земельного налога</w:t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Всего, в т.ч.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627,3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585,7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381,1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481,2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327,2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304,9</w:t>
            </w:r>
          </w:p>
        </w:tc>
      </w:tr>
      <w:tr>
        <w:trPr>
          <w:trHeight w:val="166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местного бюджета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627,3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585,7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381,1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481,2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327,2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304,9</w:t>
            </w:r>
          </w:p>
        </w:tc>
      </w:tr>
      <w:tr>
        <w:trPr>
          <w:trHeight w:val="10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/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федеральный бюджет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****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юридические лица и индивидуальные предприниматели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Подпрограмма 2</w:t>
            </w:r>
          </w:p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bCs/>
                <w:sz w:val="20"/>
                <w:szCs w:val="20"/>
              </w:rPr>
              <w:t>«</w:t>
            </w:r>
            <w:r>
              <w:rPr>
                <w:rFonts w:cs="Times New Roman"/>
                <w:sz w:val="20"/>
                <w:szCs w:val="20"/>
              </w:rPr>
              <w:t>Устойчивое развитие сельских территорий Шарангского муниципального района Нижегородской области</w:t>
            </w:r>
            <w:r>
              <w:rPr>
                <w:rFonts w:cs="Times New Roman"/>
                <w:bCs/>
                <w:sz w:val="20"/>
                <w:szCs w:val="20"/>
              </w:rPr>
              <w:t>»</w:t>
            </w:r>
            <w:r>
              <w:rPr>
                <w:rFonts w:cs="Times New Roman"/>
                <w:sz w:val="20"/>
                <w:szCs w:val="20"/>
              </w:rPr>
              <w:t xml:space="preserve"> до 2020 года</w:t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Всего, в т.ч.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02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местного бюджета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/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федеральный бюджет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****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юридические лица и индивидуальные предприниматели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206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212" w:hRule="atLeast"/>
        </w:trPr>
        <w:tc>
          <w:tcPr>
            <w:tcW w:w="168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Основное мероприятие 2.1</w:t>
            </w:r>
          </w:p>
        </w:tc>
        <w:tc>
          <w:tcPr>
            <w:tcW w:w="2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Улучшение жилищных условий граждан, проживающих в сельской местности, в том числе молодых семей и молодых специалистов, с использованием средств социальных выплат</w:t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Всего, в т.ч.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54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местного бюджета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95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color w:val="0070C0"/>
                <w:sz w:val="20"/>
                <w:szCs w:val="20"/>
              </w:rPr>
            </w:pPr>
            <w:r>
              <w:rPr>
                <w:rFonts w:cs="Times New Roman"/>
                <w:bCs/>
                <w:color w:val="0070C0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/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color w:val="0070C0"/>
                <w:sz w:val="20"/>
                <w:szCs w:val="20"/>
              </w:rPr>
            </w:pPr>
            <w:r>
              <w:rPr>
                <w:rFonts w:cs="Times New Roman"/>
                <w:bCs/>
                <w:color w:val="0070C0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федеральный бюджет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****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юридические лица и индивидуальные предприниматели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</w:tr>
      <w:tr>
        <w:trPr>
          <w:trHeight w:val="243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cs="Times New Roman"/>
                <w:color w:val="0070C0"/>
                <w:sz w:val="20"/>
                <w:szCs w:val="20"/>
              </w:rPr>
            </w:r>
          </w:p>
        </w:tc>
      </w:tr>
      <w:tr>
        <w:trPr>
          <w:trHeight w:val="147" w:hRule="atLeast"/>
        </w:trPr>
        <w:tc>
          <w:tcPr>
            <w:tcW w:w="168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Основное мероприятие 2.2</w:t>
            </w:r>
          </w:p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Всего, в т.ч.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местного бюджета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211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/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федеральный бюджет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****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юридические лица и индивидуальные предприниматели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79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Подпрограмма 3</w:t>
            </w:r>
          </w:p>
        </w:tc>
        <w:tc>
          <w:tcPr>
            <w:tcW w:w="2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bCs/>
                <w:sz w:val="20"/>
                <w:szCs w:val="20"/>
              </w:rPr>
              <w:t>«</w:t>
            </w:r>
            <w:r>
              <w:rPr>
                <w:rFonts w:cs="Times New Roman"/>
                <w:sz w:val="20"/>
                <w:szCs w:val="20"/>
              </w:rPr>
              <w:t>Эпизоотическое благополучие Шарангского муниципального района Нижегородской области</w:t>
            </w:r>
            <w:r>
              <w:rPr>
                <w:rFonts w:cs="Times New Roman"/>
                <w:bCs/>
                <w:sz w:val="20"/>
                <w:szCs w:val="20"/>
              </w:rPr>
              <w:t xml:space="preserve">» </w:t>
            </w:r>
            <w:r>
              <w:rPr>
                <w:rFonts w:cs="Times New Roman"/>
                <w:sz w:val="20"/>
                <w:szCs w:val="20"/>
              </w:rPr>
              <w:t>до 2020 года</w:t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Всего, в т.ч.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206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местного бюджета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4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/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федеральный бюджет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****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юридические лица и индивидуальные предприниматели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4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09" w:hRule="atLeast"/>
        </w:trPr>
        <w:tc>
          <w:tcPr>
            <w:tcW w:w="168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Основное мероприятие 3.1</w:t>
            </w:r>
          </w:p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Осуществление мероприятий по предупреждению особо опасных болезней животных и управлению природно-очаговыми заболеваниями</w:t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Всего, в т.ч.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местного бюджета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73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/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федеральный бюджет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****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юридические лица и индивидуальные предприниматели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55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225" w:hRule="atLeast"/>
        </w:trPr>
        <w:tc>
          <w:tcPr>
            <w:tcW w:w="168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Основное мероприятие 3.2</w:t>
            </w:r>
          </w:p>
        </w:tc>
        <w:tc>
          <w:tcPr>
            <w:tcW w:w="2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Осуществление мероприятий по снижению инфекционных болезней животных и снижению инвазионной заболеваемости животных</w:t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Всего, в т.ч.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6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местного бюджета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10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/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федеральный бюджет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****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юридические лица и индивидуальные предприниматели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90" w:hRule="atLeast"/>
        </w:trPr>
        <w:tc>
          <w:tcPr>
            <w:tcW w:w="168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Подпрограмма 4</w:t>
            </w:r>
          </w:p>
        </w:tc>
        <w:tc>
          <w:tcPr>
            <w:tcW w:w="2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bCs/>
                <w:sz w:val="20"/>
                <w:szCs w:val="20"/>
              </w:rPr>
              <w:t>«</w:t>
            </w:r>
            <w:r>
              <w:rPr>
                <w:rFonts w:cs="Times New Roman"/>
                <w:sz w:val="20"/>
                <w:szCs w:val="20"/>
              </w:rPr>
              <w:t>Обеспечение реализации Муниципальной программы</w:t>
            </w:r>
            <w:r>
              <w:rPr>
                <w:rFonts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>Всего, в т.ч.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4 631,8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3 751,5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4 079,9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3 975,3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4 116,1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4 262,8</w:t>
            </w:r>
          </w:p>
        </w:tc>
      </w:tr>
      <w:tr>
        <w:trPr>
          <w:trHeight w:val="19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местного бюджета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25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расходы областного бюджета</w:t>
            </w:r>
            <w:hyperlink w:anchor="Par360">
              <w:r>
                <w:rPr>
                  <w:rStyle w:val="ListLabel20"/>
                  <w:rFonts w:cs="Times New Roman"/>
                  <w:sz w:val="18"/>
                  <w:szCs w:val="18"/>
                  <w:vertAlign w:val="superscript"/>
                </w:rPr>
                <w:t>*</w:t>
              </w:r>
            </w:hyperlink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4 631,8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3 751,5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4 079,9</w:t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3 975,3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4 116,1</w:t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sz w:val="20"/>
                <w:szCs w:val="20"/>
              </w:rPr>
              <w:t>4 262,8</w:t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федеральный бюджет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****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31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юридические лица и индивидуальные предприниматели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  <w:tr>
        <w:trPr>
          <w:trHeight w:val="108" w:hRule="atLeast"/>
        </w:trPr>
        <w:tc>
          <w:tcPr>
            <w:tcW w:w="1687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3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18"/>
                <w:szCs w:val="18"/>
              </w:rPr>
              <w:t>прочие источники (собственные средства населения и др.)</w:t>
            </w:r>
          </w:p>
        </w:tc>
        <w:tc>
          <w:tcPr>
            <w:tcW w:w="1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</w:tr>
    </w:tbl>
    <w:p>
      <w:pPr>
        <w:pStyle w:val="Style29"/>
        <w:spacing w:lineRule="auto" w:line="240" w:before="0" w:after="0"/>
        <w:ind w:left="0" w:right="0" w:hanging="0"/>
        <w:rPr/>
      </w:pPr>
      <w:r>
        <w:rPr>
          <w:rStyle w:val="EndnoteCharacters"/>
        </w:rPr>
        <w:t>*</w:t>
      </w:r>
      <w:r>
        <w:rPr/>
        <w:t xml:space="preserve"> расходы областного бюджета указаны в соответствии с ресурсным обеспечением реализации Государственной программы за счет средств областного бюджета.</w:t>
      </w:r>
    </w:p>
    <w:p>
      <w:pPr>
        <w:pStyle w:val="Style29"/>
        <w:spacing w:lineRule="auto" w:line="240" w:before="0" w:after="0"/>
        <w:ind w:left="0" w:right="0" w:hanging="0"/>
        <w:rPr/>
      </w:pPr>
      <w:r>
        <w:rPr>
          <w:rStyle w:val="EndnoteCharacters"/>
        </w:rPr>
        <w:t>**</w:t>
      </w:r>
      <w:r>
        <w:rPr/>
        <w:t xml:space="preserve"> расходы местных бюджетов указаны в соответствии с ресурсным обеспечением реализации Муниципальной программы за счет средств местных бюджетов.</w:t>
      </w:r>
    </w:p>
    <w:p>
      <w:pPr>
        <w:pStyle w:val="Style29"/>
        <w:spacing w:lineRule="auto" w:line="240" w:before="0" w:after="0"/>
        <w:ind w:left="0" w:right="0" w:hanging="0"/>
        <w:rPr/>
      </w:pPr>
      <w:r>
        <w:rPr>
          <w:rStyle w:val="EndnoteCharacters"/>
        </w:rPr>
        <w:t>****</w:t>
      </w:r>
      <w:r>
        <w:rPr/>
        <w:t xml:space="preserve"> прямые расходы федерального бюджета.</w:t>
      </w:r>
    </w:p>
    <w:p>
      <w:pPr>
        <w:sectPr>
          <w:headerReference w:type="default" r:id="rId7"/>
          <w:type w:val="nextPage"/>
          <w:pgSz w:orient="landscape" w:w="16838" w:h="11906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  <w:pStyle w:val="Style29"/>
        <w:spacing w:lineRule="auto" w:line="240" w:before="0" w:after="0"/>
        <w:ind w:left="0" w:right="0" w:hanging="0"/>
        <w:rPr/>
      </w:pPr>
      <w:r>
        <w:rPr>
          <w:rStyle w:val="EndnoteCharacters"/>
        </w:rPr>
        <w:t>***</w:t>
      </w:r>
      <w:r>
        <w:rPr/>
        <w:t xml:space="preserve"> юридические лица – сельскохозяйственные предприятия и организации Шарангского муниципального района Нижегородской области ».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bidi w:val="0"/>
        <w:spacing w:lineRule="auto" w:line="240" w:before="0" w:after="0"/>
        <w:ind w:left="9468" w:right="0" w:hanging="0"/>
        <w:jc w:val="center"/>
        <w:outlineLvl w:val="2"/>
        <w:rPr/>
      </w:pPr>
      <w:r>
        <w:rPr>
          <w:rFonts w:cs="Times New Roman"/>
          <w:sz w:val="24"/>
          <w:szCs w:val="24"/>
        </w:rPr>
        <w:t>Приложение 4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bidi w:val="0"/>
        <w:spacing w:lineRule="auto" w:line="240" w:before="0" w:after="0"/>
        <w:ind w:left="9468" w:right="0" w:hanging="0"/>
        <w:jc w:val="center"/>
        <w:outlineLvl w:val="2"/>
        <w:rPr/>
      </w:pPr>
      <w:r>
        <w:rPr>
          <w:rFonts w:cs="Times New Roman"/>
          <w:sz w:val="24"/>
          <w:szCs w:val="24"/>
        </w:rPr>
        <w:t xml:space="preserve">к постановлению администрации 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bidi w:val="0"/>
        <w:spacing w:lineRule="auto" w:line="240" w:before="0" w:after="0"/>
        <w:ind w:left="9468" w:right="0" w:hanging="0"/>
        <w:jc w:val="center"/>
        <w:outlineLvl w:val="2"/>
        <w:rPr/>
      </w:pPr>
      <w:r>
        <w:rPr>
          <w:rFonts w:cs="Times New Roman"/>
          <w:sz w:val="24"/>
          <w:szCs w:val="24"/>
        </w:rPr>
        <w:t>Шарангского муниципального района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bidi w:val="0"/>
        <w:spacing w:lineRule="auto" w:line="240" w:before="0" w:after="0"/>
        <w:ind w:left="9468" w:right="0" w:hanging="0"/>
        <w:jc w:val="center"/>
        <w:outlineLvl w:val="2"/>
        <w:rPr/>
      </w:pPr>
      <w:r>
        <w:rPr>
          <w:rFonts w:cs="Times New Roman"/>
          <w:sz w:val="24"/>
          <w:szCs w:val="24"/>
        </w:rPr>
        <w:t xml:space="preserve">от 26.03.2018г. № 150 </w:t>
      </w:r>
    </w:p>
    <w:p>
      <w:pPr>
        <w:pStyle w:val="Normal"/>
        <w:widowControl w:val="false"/>
        <w:numPr>
          <w:ilvl w:val="0"/>
          <w:numId w:val="0"/>
        </w:numPr>
        <w:spacing w:lineRule="auto" w:line="240" w:before="0" w:after="0"/>
        <w:ind w:left="0" w:right="0" w:hanging="0"/>
        <w:jc w:val="right"/>
        <w:outlineLvl w:val="2"/>
        <w:rPr/>
      </w:pPr>
      <w:r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«Таблица 5</w:t>
      </w:r>
    </w:p>
    <w:p>
      <w:pPr>
        <w:pStyle w:val="Normal"/>
        <w:widowControl w:val="false"/>
        <w:numPr>
          <w:ilvl w:val="0"/>
          <w:numId w:val="0"/>
        </w:numPr>
        <w:spacing w:lineRule="auto" w:line="240" w:before="0" w:after="0"/>
        <w:ind w:left="0" w:right="0" w:hanging="0"/>
        <w:jc w:val="center"/>
        <w:outlineLvl w:val="2"/>
        <w:rPr>
          <w:rFonts w:ascii="Times New Roman" w:hAnsi="Times New Roman" w:cs="Times New Roman"/>
        </w:rPr>
      </w:pPr>
      <w:r>
        <w:rPr>
          <w:rFonts w:cs="Times New Roman"/>
        </w:rPr>
      </w:r>
    </w:p>
    <w:p>
      <w:pPr>
        <w:pStyle w:val="Normal"/>
        <w:widowControl w:val="false"/>
        <w:numPr>
          <w:ilvl w:val="0"/>
          <w:numId w:val="0"/>
        </w:numPr>
        <w:spacing w:lineRule="auto" w:line="240" w:before="0" w:after="0"/>
        <w:ind w:left="0" w:right="0" w:hanging="0"/>
        <w:jc w:val="center"/>
        <w:outlineLvl w:val="2"/>
        <w:rPr/>
      </w:pPr>
      <w:r>
        <w:rPr>
          <w:rFonts w:cs="Times New Roman"/>
        </w:rPr>
        <w:t>Аналитическое распределение бюджетных средств, направляемых на реализацию Подпрограммы "Обеспечение реализации Муниципальной программы" (за счет средств областного бюджета), тыс. руб.</w:t>
      </w:r>
    </w:p>
    <w:tbl>
      <w:tblPr>
        <w:tblW w:w="15675" w:type="dxa"/>
        <w:jc w:val="center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2044"/>
        <w:gridCol w:w="2553"/>
        <w:gridCol w:w="1067"/>
        <w:gridCol w:w="1068"/>
        <w:gridCol w:w="1067"/>
        <w:gridCol w:w="1066"/>
        <w:gridCol w:w="2"/>
        <w:gridCol w:w="1135"/>
        <w:gridCol w:w="1135"/>
        <w:gridCol w:w="1133"/>
        <w:gridCol w:w="1135"/>
        <w:gridCol w:w="1135"/>
        <w:gridCol w:w="1134"/>
      </w:tblGrid>
      <w:tr>
        <w:trPr>
          <w:tblHeader w:val="true"/>
          <w:trHeight w:val="691" w:hRule="atLeast"/>
        </w:trPr>
        <w:tc>
          <w:tcPr>
            <w:tcW w:w="2044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Статус</w:t>
            </w:r>
          </w:p>
        </w:tc>
        <w:tc>
          <w:tcPr>
            <w:tcW w:w="255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 xml:space="preserve">Наименование Муниципальной программы, подпрограммы </w:t>
            </w:r>
          </w:p>
        </w:tc>
        <w:tc>
          <w:tcPr>
            <w:tcW w:w="4268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6809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Расходы (тыс. руб.)</w:t>
            </w:r>
          </w:p>
        </w:tc>
      </w:tr>
      <w:tr>
        <w:trPr>
          <w:tblHeader w:val="true"/>
          <w:trHeight w:val="449" w:hRule="atLeast"/>
        </w:trPr>
        <w:tc>
          <w:tcPr>
            <w:tcW w:w="2044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1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КВСР</w:t>
            </w:r>
          </w:p>
        </w:tc>
        <w:tc>
          <w:tcPr>
            <w:tcW w:w="1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РзПр</w:t>
            </w:r>
          </w:p>
        </w:tc>
        <w:tc>
          <w:tcPr>
            <w:tcW w:w="1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КЦСР</w:t>
            </w:r>
          </w:p>
        </w:tc>
        <w:tc>
          <w:tcPr>
            <w:tcW w:w="10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КВР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2015 год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2016 год</w:t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2017 год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2018 год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2019 год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sz w:val="20"/>
                <w:szCs w:val="20"/>
              </w:rPr>
              <w:t>2020 год</w:t>
            </w:r>
          </w:p>
        </w:tc>
      </w:tr>
      <w:tr>
        <w:trPr>
          <w:trHeight w:val="323" w:hRule="atLeast"/>
        </w:trPr>
        <w:tc>
          <w:tcPr>
            <w:tcW w:w="2044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sz w:val="20"/>
                <w:szCs w:val="20"/>
              </w:rPr>
              <w:t xml:space="preserve">Муниципальная программа </w:t>
            </w:r>
          </w:p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bCs/>
                <w:sz w:val="20"/>
                <w:szCs w:val="20"/>
              </w:rPr>
              <w:t>"</w:t>
            </w:r>
            <w:r>
              <w:rPr>
                <w:rFonts w:cs="Times New Roman"/>
                <w:sz w:val="20"/>
                <w:szCs w:val="20"/>
              </w:rPr>
              <w:t>Развитие агропромышленного комплекса Шарангского муниципального района Нижегородской области</w:t>
            </w:r>
            <w:r>
              <w:rPr>
                <w:rFonts w:cs="Times New Roman"/>
                <w:bCs/>
                <w:sz w:val="20"/>
                <w:szCs w:val="20"/>
              </w:rPr>
              <w:t>"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rPr/>
            </w:pPr>
            <w:r>
              <w:rPr>
                <w:rFonts w:cs="Times New Roman"/>
                <w:bCs/>
                <w:sz w:val="20"/>
                <w:szCs w:val="20"/>
              </w:rPr>
              <w:t>Подпрограмма 4 "</w:t>
            </w:r>
            <w:r>
              <w:rPr>
                <w:rFonts w:cs="Times New Roman"/>
                <w:sz w:val="20"/>
                <w:szCs w:val="20"/>
              </w:rPr>
              <w:t>Обеспечение реализации Муниципальной программы</w:t>
            </w:r>
            <w:r>
              <w:rPr>
                <w:rFonts w:cs="Times New Roman"/>
                <w:bCs/>
                <w:sz w:val="20"/>
                <w:szCs w:val="20"/>
              </w:rPr>
              <w:t>"</w:t>
            </w:r>
          </w:p>
        </w:tc>
        <w:tc>
          <w:tcPr>
            <w:tcW w:w="1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х</w:t>
            </w:r>
          </w:p>
        </w:tc>
        <w:tc>
          <w:tcPr>
            <w:tcW w:w="1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х</w:t>
            </w:r>
          </w:p>
        </w:tc>
        <w:tc>
          <w:tcPr>
            <w:tcW w:w="1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х</w:t>
            </w:r>
          </w:p>
        </w:tc>
        <w:tc>
          <w:tcPr>
            <w:tcW w:w="10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х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4631,8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3751,5</w:t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4079,9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3 975,3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4 116,1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4 262,8</w:t>
            </w:r>
          </w:p>
        </w:tc>
      </w:tr>
      <w:tr>
        <w:trPr>
          <w:trHeight w:val="323" w:hRule="atLeast"/>
        </w:trPr>
        <w:tc>
          <w:tcPr>
            <w:tcW w:w="2044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1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082</w:t>
            </w:r>
          </w:p>
        </w:tc>
        <w:tc>
          <w:tcPr>
            <w:tcW w:w="1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0405</w:t>
            </w:r>
          </w:p>
        </w:tc>
        <w:tc>
          <w:tcPr>
            <w:tcW w:w="1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16"/>
                <w:szCs w:val="16"/>
              </w:rPr>
              <w:t>1140173030</w:t>
            </w:r>
          </w:p>
        </w:tc>
        <w:tc>
          <w:tcPr>
            <w:tcW w:w="10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121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3985,5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2464,2</w:t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2 694,3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2 706,2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2 802,1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2 901,9</w:t>
            </w:r>
          </w:p>
        </w:tc>
      </w:tr>
      <w:tr>
        <w:trPr>
          <w:trHeight w:val="323" w:hRule="atLeast"/>
        </w:trPr>
        <w:tc>
          <w:tcPr>
            <w:tcW w:w="2044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1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082</w:t>
            </w:r>
          </w:p>
        </w:tc>
        <w:tc>
          <w:tcPr>
            <w:tcW w:w="1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0405</w:t>
            </w:r>
          </w:p>
        </w:tc>
        <w:tc>
          <w:tcPr>
            <w:tcW w:w="1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16"/>
                <w:szCs w:val="16"/>
              </w:rPr>
              <w:t>1140173030</w:t>
            </w:r>
          </w:p>
        </w:tc>
        <w:tc>
          <w:tcPr>
            <w:tcW w:w="10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129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110,5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737,5</w:t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807,6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817,3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846,2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876,4</w:t>
            </w:r>
          </w:p>
        </w:tc>
      </w:tr>
      <w:tr>
        <w:trPr>
          <w:trHeight w:val="323" w:hRule="atLeast"/>
        </w:trPr>
        <w:tc>
          <w:tcPr>
            <w:tcW w:w="2044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1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082</w:t>
            </w:r>
          </w:p>
        </w:tc>
        <w:tc>
          <w:tcPr>
            <w:tcW w:w="1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0405</w:t>
            </w:r>
          </w:p>
        </w:tc>
        <w:tc>
          <w:tcPr>
            <w:tcW w:w="1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16"/>
                <w:szCs w:val="16"/>
              </w:rPr>
              <w:t>1140173030</w:t>
            </w:r>
          </w:p>
        </w:tc>
        <w:tc>
          <w:tcPr>
            <w:tcW w:w="10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242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526,8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79,7</w:t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80,7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74,5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77,2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80,0</w:t>
            </w:r>
          </w:p>
        </w:tc>
      </w:tr>
      <w:tr>
        <w:trPr>
          <w:trHeight w:val="323" w:hRule="atLeast"/>
        </w:trPr>
        <w:tc>
          <w:tcPr>
            <w:tcW w:w="2044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1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082</w:t>
            </w:r>
          </w:p>
        </w:tc>
        <w:tc>
          <w:tcPr>
            <w:tcW w:w="1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0405</w:t>
            </w:r>
          </w:p>
        </w:tc>
        <w:tc>
          <w:tcPr>
            <w:tcW w:w="1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16"/>
                <w:szCs w:val="16"/>
              </w:rPr>
              <w:t>1140173030</w:t>
            </w:r>
          </w:p>
        </w:tc>
        <w:tc>
          <w:tcPr>
            <w:tcW w:w="10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244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8,2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463,4</w:t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491,3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370,5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384,0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398,1</w:t>
            </w:r>
          </w:p>
        </w:tc>
      </w:tr>
      <w:tr>
        <w:trPr>
          <w:trHeight w:val="323" w:hRule="atLeast"/>
        </w:trPr>
        <w:tc>
          <w:tcPr>
            <w:tcW w:w="2044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1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082</w:t>
            </w:r>
          </w:p>
        </w:tc>
        <w:tc>
          <w:tcPr>
            <w:tcW w:w="1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0405</w:t>
            </w:r>
          </w:p>
        </w:tc>
        <w:tc>
          <w:tcPr>
            <w:tcW w:w="1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16"/>
                <w:szCs w:val="16"/>
              </w:rPr>
              <w:t>1140173030</w:t>
            </w:r>
          </w:p>
        </w:tc>
        <w:tc>
          <w:tcPr>
            <w:tcW w:w="10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851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2,5</w:t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2,0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2,0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2,0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2,0</w:t>
            </w:r>
          </w:p>
        </w:tc>
      </w:tr>
      <w:tr>
        <w:trPr>
          <w:trHeight w:val="323" w:hRule="atLeast"/>
        </w:trPr>
        <w:tc>
          <w:tcPr>
            <w:tcW w:w="2044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1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082</w:t>
            </w:r>
          </w:p>
        </w:tc>
        <w:tc>
          <w:tcPr>
            <w:tcW w:w="1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0405</w:t>
            </w:r>
          </w:p>
        </w:tc>
        <w:tc>
          <w:tcPr>
            <w:tcW w:w="1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16"/>
                <w:szCs w:val="16"/>
              </w:rPr>
              <w:t>1140173030</w:t>
            </w:r>
          </w:p>
        </w:tc>
        <w:tc>
          <w:tcPr>
            <w:tcW w:w="10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852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0,8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4,2</w:t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</w:tr>
      <w:tr>
        <w:trPr>
          <w:trHeight w:val="323" w:hRule="atLeast"/>
        </w:trPr>
        <w:tc>
          <w:tcPr>
            <w:tcW w:w="2044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</w:r>
          </w:p>
        </w:tc>
        <w:tc>
          <w:tcPr>
            <w:tcW w:w="255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</w:r>
          </w:p>
        </w:tc>
        <w:tc>
          <w:tcPr>
            <w:tcW w:w="1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082</w:t>
            </w:r>
          </w:p>
        </w:tc>
        <w:tc>
          <w:tcPr>
            <w:tcW w:w="1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0405</w:t>
            </w:r>
          </w:p>
        </w:tc>
        <w:tc>
          <w:tcPr>
            <w:tcW w:w="1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16"/>
                <w:szCs w:val="16"/>
              </w:rPr>
              <w:t>1140173030</w:t>
            </w:r>
          </w:p>
        </w:tc>
        <w:tc>
          <w:tcPr>
            <w:tcW w:w="10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cs="Times New Roman"/>
                <w:bCs/>
                <w:sz w:val="20"/>
                <w:szCs w:val="20"/>
              </w:rPr>
              <w:t>853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4,0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4,8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4,6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hanging="0"/>
              <w:jc w:val="right"/>
              <w:rPr/>
            </w:pPr>
            <w:r>
              <w:rPr>
                <w:rFonts w:cs="Times New Roman"/>
                <w:bCs/>
                <w:sz w:val="20"/>
                <w:szCs w:val="20"/>
              </w:rPr>
              <w:t>4,4</w:t>
            </w:r>
          </w:p>
        </w:tc>
      </w:tr>
    </w:tbl>
    <w:p>
      <w:pPr>
        <w:pStyle w:val="Normal"/>
        <w:widowControl w:val="false"/>
        <w:spacing w:lineRule="auto" w:line="240" w:before="0" w:after="0"/>
        <w:ind w:left="0" w:right="0" w:hanging="0"/>
        <w:jc w:val="right"/>
        <w:rPr/>
      </w:pPr>
      <w:r>
        <w:rPr>
          <w:rFonts w:cs="Times New Roman"/>
          <w:sz w:val="20"/>
          <w:szCs w:val="20"/>
        </w:rPr>
        <w:t>»</w:t>
      </w:r>
    </w:p>
    <w:p>
      <w:pPr>
        <w:pStyle w:val="Normal"/>
        <w:widowControl w:val="false"/>
        <w:numPr>
          <w:ilvl w:val="0"/>
          <w:numId w:val="0"/>
        </w:numPr>
        <w:tabs>
          <w:tab w:val="left" w:pos="7655" w:leader="none"/>
        </w:tabs>
        <w:spacing w:lineRule="auto" w:line="240" w:before="0" w:after="0"/>
        <w:ind w:left="0" w:right="0" w:hanging="0"/>
        <w:jc w:val="both"/>
        <w:outlineLvl w:val="2"/>
        <w:rPr/>
      </w:pPr>
      <w:r>
        <w:rPr/>
      </w:r>
    </w:p>
    <w:sectPr>
      <w:headerReference w:type="default" r:id="rId8"/>
      <w:type w:val="nextPage"/>
      <w:pgSz w:orient="landscape" w:w="16838" w:h="11906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rPr/>
    </w:pPr>
    <w:r>
      <w:rPr/>
      <mc:AlternateContent>
        <mc:Choice Requires="wps">
          <w:drawing>
            <wp:anchor behindDoc="1" distT="0" distB="0" distL="0" distR="0" simplePos="0" locked="0" layoutInCell="1" allowOverlap="1" relativeHeight="4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229235" cy="148590"/>
              <wp:effectExtent l="0" t="0" r="0" b="0"/>
              <wp:wrapSquare wrapText="largest"/>
              <wp:docPr id="3" name="Врезка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8600" cy="1479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21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4</w:t>
                          </w:r>
                          <w:r>
                            <w:rPr/>
                            <w:fldChar w:fldCharType="end"/>
                          </w:r>
                        </w:p>
                      </w:txbxContent>
                    </wps:txbx>
                    <wps:bodyPr lIns="1800" rIns="1800" tIns="1800" bIns="180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Врезка2" stroked="f" style="position:absolute;margin-left:231.95pt;margin-top:0.05pt;width:17.95pt;height:11.6pt;mso-position-horizontal:center;mso-position-horizontal-relative:margin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21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/>
                      <w:instrText> PAGE </w:instrText>
                    </w:r>
                    <w:r>
                      <w:rPr/>
                      <w:fldChar w:fldCharType="separate"/>
                    </w:r>
                    <w:r>
                      <w:rPr/>
                      <w:t>4</w:t>
                    </w:r>
                    <w:r>
                      <w:rPr/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rPr/>
    </w:pPr>
    <w:r>
      <w:rPr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rPr/>
    </w:pPr>
    <w:r>
      <w:rPr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rPr/>
    </w:pPr>
    <w:r>
      <w:rPr/>
    </w:r>
  </w:p>
</w:hdr>
</file>

<file path=word/header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qFormat/>
    <w:rPr>
      <w:rFonts w:ascii="Tahoma" w:hAnsi="Tahoma" w:cs="Tahoma"/>
      <w:sz w:val="16"/>
      <w:szCs w:val="16"/>
    </w:rPr>
  </w:style>
  <w:style w:type="character" w:styleId="FontStyle12">
    <w:name w:val="Font Style12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qFormat/>
    <w:rPr>
      <w:rFonts w:ascii="Times New Roman" w:hAnsi="Times New Roman" w:cs="Times New Roman"/>
      <w:sz w:val="26"/>
      <w:szCs w:val="26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ListLabel1">
    <w:name w:val="ListLabel 1"/>
    <w:qFormat/>
    <w:rPr>
      <w:rFonts w:ascii="Times New Roman" w:hAnsi="Times New Roman"/>
      <w:sz w:val="24"/>
    </w:rPr>
  </w:style>
  <w:style w:type="character" w:styleId="ListLabel2">
    <w:name w:val="ListLabel 2"/>
    <w:qFormat/>
    <w:rPr>
      <w:rFonts w:ascii="Times New Roman" w:hAnsi="Times New Roman"/>
      <w:sz w:val="24"/>
    </w:rPr>
  </w:style>
  <w:style w:type="character" w:styleId="ListLabel3">
    <w:name w:val="ListLabel 3"/>
    <w:qFormat/>
    <w:rPr>
      <w:sz w:val="24"/>
    </w:rPr>
  </w:style>
  <w:style w:type="character" w:styleId="ListLabel4">
    <w:name w:val="ListLabel 4"/>
    <w:qFormat/>
    <w:rPr>
      <w:sz w:val="24"/>
    </w:rPr>
  </w:style>
  <w:style w:type="character" w:styleId="ListLabel5">
    <w:name w:val="ListLabel 5"/>
    <w:qFormat/>
    <w:rPr>
      <w:sz w:val="24"/>
    </w:rPr>
  </w:style>
  <w:style w:type="character" w:styleId="ListLabel6">
    <w:name w:val="ListLabel 6"/>
    <w:qFormat/>
    <w:rPr>
      <w:sz w:val="24"/>
    </w:rPr>
  </w:style>
  <w:style w:type="character" w:styleId="ListLabel7">
    <w:name w:val="ListLabel 7"/>
    <w:qFormat/>
    <w:rPr>
      <w:sz w:val="24"/>
    </w:rPr>
  </w:style>
  <w:style w:type="character" w:styleId="ListLabel8">
    <w:name w:val="ListLabel 8"/>
    <w:qFormat/>
    <w:rPr>
      <w:sz w:val="24"/>
    </w:rPr>
  </w:style>
  <w:style w:type="character" w:styleId="ListLabel9">
    <w:name w:val="ListLabel 9"/>
    <w:qFormat/>
    <w:rPr>
      <w:sz w:val="24"/>
    </w:rPr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character" w:styleId="ListLabel20">
    <w:name w:val="ListLabel 20"/>
    <w:qFormat/>
    <w:rPr>
      <w:rFonts w:ascii="Times New Roman" w:hAnsi="Times New Roman" w:cs="Times New Roman"/>
      <w:sz w:val="18"/>
      <w:szCs w:val="18"/>
      <w:vertAlign w:val="superscript"/>
    </w:rPr>
  </w:style>
  <w:style w:type="character" w:styleId="DefaultParagraphFont">
    <w:name w:val="Default Paragraph Font"/>
    <w:qFormat/>
    <w:rPr/>
  </w:style>
  <w:style w:type="character" w:styleId="EndnoteCharacters">
    <w:name w:val="Endnote Characters"/>
    <w:basedOn w:val="DefaultParagraphFont"/>
    <w:qFormat/>
    <w:rPr>
      <w:vertAlign w:val="superscript"/>
    </w:rPr>
  </w:style>
  <w:style w:type="character" w:styleId="ListLabel21">
    <w:name w:val="ListLabel 21"/>
    <w:qFormat/>
    <w:rPr>
      <w:rFonts w:cs="Times New Roman"/>
      <w:sz w:val="18"/>
      <w:szCs w:val="18"/>
      <w:vertAlign w:val="superscript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left="0" w:right="0"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left="0" w:right="0" w:firstLine="709"/>
      <w:jc w:val="both"/>
    </w:pPr>
    <w:rPr>
      <w:rFonts w:ascii="Arial" w:hAnsi="Arial" w:cs="Arial"/>
      <w:sz w:val="26"/>
    </w:rPr>
  </w:style>
  <w:style w:type="paragraph" w:styleId="Style21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left="0" w:right="0"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left="0" w:right="0"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left="0" w:right="0"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  <w:lang w:val="ru-RU"/>
    </w:rPr>
  </w:style>
  <w:style w:type="paragraph" w:styleId="Style110">
    <w:name w:val="Style1"/>
    <w:basedOn w:val="Normal"/>
    <w:qFormat/>
    <w:pPr>
      <w:widowControl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exact" w:line="331"/>
      <w:ind w:left="0" w:right="0"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exact" w:line="326"/>
      <w:ind w:left="0" w:right="0"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>
    <w:name w:val="ConsPlusNormal"/>
    <w:qFormat/>
    <w:pPr>
      <w:widowControl w:val="false"/>
      <w:suppressAutoHyphens w:val="true"/>
      <w:bidi w:val="0"/>
      <w:ind w:left="0" w:right="0"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6">
    <w:name w:val="Style2"/>
    <w:basedOn w:val="Normal"/>
    <w:qFormat/>
    <w:pPr>
      <w:widowControl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374"/>
      <w:ind w:left="0" w:right="0"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right="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Содержимое врезки"/>
    <w:basedOn w:val="Normal"/>
    <w:qFormat/>
    <w:pPr/>
    <w:rPr/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paragraph" w:styleId="Style29">
    <w:name w:val="Endnote Text"/>
    <w:basedOn w:val="Normal"/>
    <w:pPr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header" Target="header4.xml"/><Relationship Id="rId7" Type="http://schemas.openxmlformats.org/officeDocument/2006/relationships/header" Target="header5.xml"/><Relationship Id="rId8" Type="http://schemas.openxmlformats.org/officeDocument/2006/relationships/header" Target="header6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</Template>
  <TotalTime>34</TotalTime>
  <Application>LibreOffice/6.0.2.1$Windows_x86 LibreOffice_project/f7f06a8f319e4b62f9bc5095aa112a65d2f3ac89</Application>
  <Pages>18</Pages>
  <Words>3043</Words>
  <Characters>20895</Characters>
  <CharactersWithSpaces>23151</CharactersWithSpaces>
  <Paragraphs>884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2018-03-26T16:55:21Z</cp:lastPrinted>
  <dcterms:modified xsi:type="dcterms:W3CDTF">2018-03-26T16:57:52Z</dcterms:modified>
  <cp:revision>25</cp:revision>
  <dc:subject/>
  <dc:title>ПОСТАНОВЛЕНИЕ</dc:title>
</cp:coreProperties>
</file>